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C66AC" w14:textId="284C28DB" w:rsidR="00E203C2" w:rsidRDefault="00E203C2" w:rsidP="00E203C2">
      <w:r>
        <w:rPr>
          <w:noProof/>
          <w:lang w:eastAsia="en-GB" w:bidi="ar-SA"/>
        </w:rPr>
        <w:drawing>
          <wp:inline distT="0" distB="0" distL="0" distR="0" wp14:anchorId="43BC6758" wp14:editId="0CC8298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3BC66AD" w14:textId="77777777" w:rsidR="00E203C2" w:rsidRDefault="00E203C2" w:rsidP="00E203C2"/>
    <w:p w14:paraId="242726ED" w14:textId="71603353" w:rsidR="004D41C9" w:rsidRPr="001E507C" w:rsidRDefault="001E507C" w:rsidP="004D41C9">
      <w:pPr>
        <w:rPr>
          <w:b/>
          <w:sz w:val="28"/>
          <w:szCs w:val="28"/>
        </w:rPr>
      </w:pPr>
      <w:r w:rsidRPr="001E507C">
        <w:rPr>
          <w:b/>
          <w:sz w:val="28"/>
          <w:szCs w:val="28"/>
        </w:rPr>
        <w:t xml:space="preserve">7 July </w:t>
      </w:r>
      <w:r w:rsidR="004D41C9" w:rsidRPr="001E507C">
        <w:rPr>
          <w:b/>
          <w:sz w:val="28"/>
          <w:szCs w:val="28"/>
        </w:rPr>
        <w:t>201</w:t>
      </w:r>
      <w:r w:rsidRPr="001E507C">
        <w:rPr>
          <w:b/>
          <w:sz w:val="28"/>
          <w:szCs w:val="28"/>
        </w:rPr>
        <w:t>7</w:t>
      </w:r>
    </w:p>
    <w:p w14:paraId="0D0D1E87" w14:textId="754F8987" w:rsidR="004D41C9" w:rsidRPr="001E507C" w:rsidRDefault="004D41C9" w:rsidP="004D41C9">
      <w:pPr>
        <w:rPr>
          <w:b/>
          <w:sz w:val="28"/>
          <w:szCs w:val="28"/>
        </w:rPr>
      </w:pPr>
      <w:r w:rsidRPr="001E507C">
        <w:rPr>
          <w:b/>
          <w:sz w:val="28"/>
          <w:szCs w:val="28"/>
        </w:rPr>
        <w:t>[</w:t>
      </w:r>
      <w:r w:rsidR="001E507C" w:rsidRPr="001E507C">
        <w:rPr>
          <w:b/>
          <w:sz w:val="28"/>
          <w:szCs w:val="28"/>
        </w:rPr>
        <w:t>17-17</w:t>
      </w:r>
      <w:r w:rsidRPr="001E507C">
        <w:rPr>
          <w:b/>
          <w:sz w:val="28"/>
          <w:szCs w:val="28"/>
        </w:rPr>
        <w:t>]</w:t>
      </w:r>
    </w:p>
    <w:p w14:paraId="57ED47A2" w14:textId="2F95E2B6" w:rsidR="004D41C9" w:rsidRDefault="004D41C9" w:rsidP="00E203C2"/>
    <w:p w14:paraId="43BC66AE" w14:textId="13802EB6"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C32FEA" w:rsidRPr="00C32FEA">
        <w:rPr>
          <w:b/>
        </w:rPr>
        <w:t>1</w:t>
      </w:r>
    </w:p>
    <w:p w14:paraId="43BC66AF" w14:textId="77777777" w:rsidR="00BA24E2" w:rsidRDefault="00BA24E2" w:rsidP="00E203C2"/>
    <w:p w14:paraId="43BC66B0" w14:textId="2A52813C" w:rsidR="00D056F1" w:rsidRPr="007B302F" w:rsidRDefault="007B302F" w:rsidP="00690206">
      <w:pPr>
        <w:pStyle w:val="FSTitle"/>
      </w:pPr>
      <w:r>
        <w:t>Risk and technical assessment report – Application A11</w:t>
      </w:r>
      <w:r w:rsidR="00674204">
        <w:t>30</w:t>
      </w:r>
    </w:p>
    <w:p w14:paraId="43BC66B1" w14:textId="77777777" w:rsidR="00E203C2" w:rsidRPr="00690206" w:rsidRDefault="00E203C2" w:rsidP="00690206"/>
    <w:p w14:paraId="43BC66B3" w14:textId="524DE166" w:rsidR="00E203C2" w:rsidRPr="007B302F" w:rsidRDefault="00674204" w:rsidP="007B302F">
      <w:pPr>
        <w:pBdr>
          <w:bottom w:val="single" w:sz="12" w:space="1" w:color="auto"/>
        </w:pBdr>
        <w:spacing w:line="280" w:lineRule="exact"/>
        <w:rPr>
          <w:rFonts w:cs="Tahoma"/>
          <w:bCs/>
          <w:sz w:val="32"/>
        </w:rPr>
      </w:pPr>
      <w:r>
        <w:rPr>
          <w:rFonts w:cs="Tahoma"/>
          <w:bCs/>
          <w:sz w:val="32"/>
        </w:rPr>
        <w:t>Triacylglycerol Lipase</w:t>
      </w:r>
      <w:r w:rsidR="007B302F" w:rsidRPr="007B302F">
        <w:rPr>
          <w:rFonts w:cs="Tahoma"/>
          <w:bCs/>
          <w:sz w:val="32"/>
        </w:rPr>
        <w:t xml:space="preserve"> as a Processing Aid (Enzyme)</w:t>
      </w:r>
    </w:p>
    <w:p w14:paraId="6423D532" w14:textId="77777777" w:rsidR="007B302F" w:rsidRPr="007B302F" w:rsidRDefault="007B302F" w:rsidP="007B302F">
      <w:pPr>
        <w:pBdr>
          <w:bottom w:val="single" w:sz="12" w:space="1" w:color="auto"/>
        </w:pBdr>
        <w:spacing w:line="280" w:lineRule="exact"/>
        <w:rPr>
          <w:rFonts w:cs="Arial"/>
          <w:bCs/>
        </w:rPr>
      </w:pPr>
    </w:p>
    <w:p w14:paraId="43BC66B4" w14:textId="77777777" w:rsidR="00E203C2" w:rsidRPr="00B37BF0" w:rsidRDefault="00E203C2" w:rsidP="00E203C2"/>
    <w:p w14:paraId="43BC66B5" w14:textId="77777777" w:rsidR="00092CDA" w:rsidRPr="00092CDA" w:rsidRDefault="00092CDA" w:rsidP="00352CF2">
      <w:pPr>
        <w:pStyle w:val="Heading1"/>
        <w:spacing w:before="0"/>
      </w:pPr>
      <w:bookmarkStart w:id="0" w:name="_Toc286391001"/>
      <w:bookmarkStart w:id="1" w:name="_Toc300933414"/>
      <w:bookmarkStart w:id="2" w:name="_Toc485991960"/>
      <w:r w:rsidRPr="00092CDA">
        <w:t xml:space="preserve">Executive </w:t>
      </w:r>
      <w:r w:rsidR="00B12F1E">
        <w:t>s</w:t>
      </w:r>
      <w:r w:rsidRPr="00092CDA">
        <w:t>ummary</w:t>
      </w:r>
      <w:bookmarkEnd w:id="0"/>
      <w:bookmarkEnd w:id="1"/>
      <w:bookmarkEnd w:id="2"/>
    </w:p>
    <w:p w14:paraId="461DEBC0" w14:textId="10D61C02" w:rsidR="00674204" w:rsidRDefault="00DD0C35" w:rsidP="004F589F">
      <w:pPr>
        <w:rPr>
          <w:lang w:eastAsia="en-AU" w:bidi="ar-SA"/>
        </w:rPr>
      </w:pPr>
      <w:r>
        <w:t xml:space="preserve">Application A1130 seeks approval to </w:t>
      </w:r>
      <w:r w:rsidR="006F5200">
        <w:t>use the enzyme triacylglycerol lipase, s</w:t>
      </w:r>
      <w:r w:rsidR="009665DA">
        <w:t xml:space="preserve">ourced from </w:t>
      </w:r>
      <w:r w:rsidR="009665DA" w:rsidRPr="009665DA">
        <w:rPr>
          <w:i/>
        </w:rPr>
        <w:t xml:space="preserve">Candida </w:t>
      </w:r>
      <w:proofErr w:type="spellStart"/>
      <w:r w:rsidR="009665DA" w:rsidRPr="009665DA">
        <w:rPr>
          <w:i/>
        </w:rPr>
        <w:t>cylindracea</w:t>
      </w:r>
      <w:proofErr w:type="spellEnd"/>
      <w:r w:rsidR="006F5200">
        <w:t xml:space="preserve">, as a processing aid. </w:t>
      </w:r>
      <w:proofErr w:type="gramStart"/>
      <w:r w:rsidR="006F5200">
        <w:rPr>
          <w:lang w:eastAsia="en-AU" w:bidi="ar-SA"/>
        </w:rPr>
        <w:t xml:space="preserve">Triacylglycerol lipase catalyses the conversion of triglycerides (also called </w:t>
      </w:r>
      <w:proofErr w:type="spellStart"/>
      <w:r w:rsidR="006F5200">
        <w:rPr>
          <w:lang w:eastAsia="en-AU" w:bidi="ar-SA"/>
        </w:rPr>
        <w:t>triacylglycerols</w:t>
      </w:r>
      <w:proofErr w:type="spellEnd"/>
      <w:r w:rsidR="006F5200">
        <w:rPr>
          <w:lang w:eastAsia="en-AU" w:bidi="ar-SA"/>
        </w:rPr>
        <w:t xml:space="preserve"> and lipids, in fats and oils) to diglycerides and mono glycerides.</w:t>
      </w:r>
      <w:proofErr w:type="gramEnd"/>
      <w:r w:rsidR="009665DA">
        <w:rPr>
          <w:lang w:eastAsia="en-AU" w:bidi="ar-SA"/>
        </w:rPr>
        <w:t xml:space="preserve"> This conversion has flavour-enhancing properties and can also extend the freshness of baked products.</w:t>
      </w:r>
      <w:r w:rsidR="006F5200">
        <w:rPr>
          <w:lang w:eastAsia="en-AU" w:bidi="ar-SA"/>
        </w:rPr>
        <w:t xml:space="preserve"> </w:t>
      </w:r>
      <w:r w:rsidR="005D3046">
        <w:rPr>
          <w:lang w:eastAsia="en-AU" w:bidi="ar-SA"/>
        </w:rPr>
        <w:t>The A</w:t>
      </w:r>
      <w:r w:rsidR="009665DA">
        <w:rPr>
          <w:lang w:eastAsia="en-AU" w:bidi="ar-SA"/>
        </w:rPr>
        <w:t xml:space="preserve">pplicant states that the enzyme </w:t>
      </w:r>
      <w:r w:rsidR="008D5D4D">
        <w:rPr>
          <w:lang w:eastAsia="en-AU" w:bidi="ar-SA"/>
        </w:rPr>
        <w:t>is intended for use in</w:t>
      </w:r>
      <w:r w:rsidR="009665DA">
        <w:rPr>
          <w:lang w:eastAsia="en-AU" w:bidi="ar-SA"/>
        </w:rPr>
        <w:t xml:space="preserve"> baking, milk and dairy processing</w:t>
      </w:r>
      <w:r w:rsidR="00125E70">
        <w:rPr>
          <w:lang w:eastAsia="en-AU" w:bidi="ar-SA"/>
        </w:rPr>
        <w:t>,</w:t>
      </w:r>
      <w:r w:rsidR="009665DA">
        <w:rPr>
          <w:lang w:eastAsia="en-AU" w:bidi="ar-SA"/>
        </w:rPr>
        <w:t xml:space="preserve"> and </w:t>
      </w:r>
      <w:r w:rsidR="008D5D4D">
        <w:rPr>
          <w:lang w:eastAsia="en-AU" w:bidi="ar-SA"/>
        </w:rPr>
        <w:t>fats and oil processing</w:t>
      </w:r>
      <w:r w:rsidR="009665DA">
        <w:rPr>
          <w:lang w:eastAsia="en-AU" w:bidi="ar-SA"/>
        </w:rPr>
        <w:t xml:space="preserve">. </w:t>
      </w:r>
    </w:p>
    <w:p w14:paraId="1048FC8D" w14:textId="1480798B" w:rsidR="009665DA" w:rsidRDefault="009665DA" w:rsidP="004F589F">
      <w:pPr>
        <w:rPr>
          <w:lang w:eastAsia="en-AU" w:bidi="ar-SA"/>
        </w:rPr>
      </w:pPr>
    </w:p>
    <w:p w14:paraId="1FC378C7" w14:textId="5959F2AF" w:rsidR="009665DA" w:rsidRDefault="009665DA" w:rsidP="004F589F">
      <w:r w:rsidRPr="006014F1">
        <w:t>The evidence presented to support the proposed uses provides adequate assurance that the enzyme, in the form and prescribed amounts, is technologically justified and has been demonstrated to be effective in achieving its stated purpose.</w:t>
      </w:r>
      <w:r w:rsidR="00C8209A">
        <w:t xml:space="preserve"> It was also concluded that the enzyme</w:t>
      </w:r>
      <w:r w:rsidRPr="006014F1">
        <w:t xml:space="preserve"> </w:t>
      </w:r>
      <w:r w:rsidR="00C8209A" w:rsidRPr="00AA11E5">
        <w:t xml:space="preserve">performs its technological purpose during processing and manufacture of food </w:t>
      </w:r>
      <w:r w:rsidR="00C8209A">
        <w:t>after which</w:t>
      </w:r>
      <w:r w:rsidR="00C8209A" w:rsidRPr="00AA11E5">
        <w:t xml:space="preserve"> it is inactivated</w:t>
      </w:r>
      <w:r w:rsidR="00C8209A">
        <w:t xml:space="preserve"> so does not perform any technological function </w:t>
      </w:r>
      <w:r w:rsidR="00C8209A" w:rsidRPr="00AA11E5">
        <w:t>in the final food</w:t>
      </w:r>
      <w:r w:rsidR="00C8209A">
        <w:t>. It is therefore appropriately categorised as a processing aid and not a food additive.</w:t>
      </w:r>
      <w:r w:rsidR="00C8209A" w:rsidRPr="00AA11E5">
        <w:t xml:space="preserve"> </w:t>
      </w:r>
      <w:r w:rsidRPr="006014F1">
        <w:t>The enzyme preparation meets international purity specifications</w:t>
      </w:r>
      <w:r>
        <w:t xml:space="preserve"> for </w:t>
      </w:r>
      <w:r w:rsidRPr="006014F1">
        <w:t>enzyme preparations used in the production of food</w:t>
      </w:r>
      <w:r>
        <w:t xml:space="preserve">. </w:t>
      </w:r>
    </w:p>
    <w:p w14:paraId="5B77C54C" w14:textId="16B01F57" w:rsidR="009665DA" w:rsidRDefault="009665DA" w:rsidP="004F589F"/>
    <w:p w14:paraId="7DAF125C" w14:textId="2E3BC3E9" w:rsidR="009665DA" w:rsidRDefault="009665DA" w:rsidP="004F589F">
      <w:r>
        <w:t xml:space="preserve">There are no public health and safety </w:t>
      </w:r>
      <w:r w:rsidR="00CF3BE0">
        <w:t xml:space="preserve">concerns </w:t>
      </w:r>
      <w:r>
        <w:t xml:space="preserve">associated with the use of triacylglycerol lipase from </w:t>
      </w:r>
      <w:r w:rsidRPr="009665DA">
        <w:rPr>
          <w:i/>
        </w:rPr>
        <w:t xml:space="preserve">Candida </w:t>
      </w:r>
      <w:proofErr w:type="spellStart"/>
      <w:r w:rsidRPr="009665DA">
        <w:rPr>
          <w:i/>
        </w:rPr>
        <w:t>cylindracea</w:t>
      </w:r>
      <w:proofErr w:type="spellEnd"/>
      <w:r>
        <w:t xml:space="preserve"> as a food processing aid, on the basis of the following considerations: </w:t>
      </w:r>
    </w:p>
    <w:p w14:paraId="177C6447" w14:textId="5A2D472A" w:rsidR="00437E7B" w:rsidRDefault="00437E7B" w:rsidP="004F589F">
      <w:pPr>
        <w:rPr>
          <w:lang w:eastAsia="en-AU" w:bidi="ar-SA"/>
        </w:rPr>
      </w:pPr>
    </w:p>
    <w:p w14:paraId="4F167B20" w14:textId="5285A4D2" w:rsidR="00437E7B" w:rsidRDefault="00437E7B" w:rsidP="00A02C80">
      <w:pPr>
        <w:pStyle w:val="FSBullet1"/>
        <w:rPr>
          <w:lang w:eastAsia="en-AU"/>
        </w:rPr>
      </w:pPr>
      <w:r>
        <w:rPr>
          <w:lang w:eastAsia="en-AU"/>
        </w:rPr>
        <w:t xml:space="preserve">The production organism is not toxigenic or pathogenic. </w:t>
      </w:r>
      <w:r w:rsidRPr="00DA2F8D">
        <w:rPr>
          <w:i/>
          <w:lang w:eastAsia="en-AU"/>
        </w:rPr>
        <w:t xml:space="preserve">Candida </w:t>
      </w:r>
      <w:proofErr w:type="spellStart"/>
      <w:r w:rsidRPr="00DA2F8D">
        <w:rPr>
          <w:i/>
          <w:lang w:eastAsia="en-AU"/>
        </w:rPr>
        <w:t>cylindracea</w:t>
      </w:r>
      <w:proofErr w:type="spellEnd"/>
      <w:r>
        <w:rPr>
          <w:lang w:eastAsia="en-AU"/>
        </w:rPr>
        <w:t xml:space="preserve"> has a long history of safe use overseas in the production of lipases for a range of industrial purposes, including use as a food processing aid.</w:t>
      </w:r>
    </w:p>
    <w:p w14:paraId="6A455420" w14:textId="77777777" w:rsidR="00437E7B" w:rsidRDefault="00437E7B" w:rsidP="004F589F">
      <w:pPr>
        <w:rPr>
          <w:lang w:eastAsia="en-AU" w:bidi="ar-SA"/>
        </w:rPr>
      </w:pPr>
    </w:p>
    <w:p w14:paraId="526C864A" w14:textId="77777777" w:rsidR="00912FB4" w:rsidRDefault="00437E7B" w:rsidP="00A02C80">
      <w:pPr>
        <w:pStyle w:val="FSBullet1"/>
        <w:rPr>
          <w:lang w:eastAsia="en-AU"/>
        </w:rPr>
      </w:pPr>
      <w:r>
        <w:rPr>
          <w:lang w:eastAsia="en-AU"/>
        </w:rPr>
        <w:t xml:space="preserve">Triacylglycerol lipase was not genotoxic </w:t>
      </w:r>
      <w:r w:rsidRPr="00DA2F8D">
        <w:rPr>
          <w:i/>
          <w:lang w:eastAsia="en-AU"/>
        </w:rPr>
        <w:t>in vitro</w:t>
      </w:r>
      <w:r>
        <w:rPr>
          <w:lang w:eastAsia="en-AU"/>
        </w:rPr>
        <w:t>.</w:t>
      </w:r>
    </w:p>
    <w:p w14:paraId="51364A06" w14:textId="77777777" w:rsidR="00912FB4" w:rsidRDefault="00912FB4" w:rsidP="00912FB4">
      <w:pPr>
        <w:pStyle w:val="ListParagraph"/>
        <w:rPr>
          <w:lang w:eastAsia="en-AU" w:bidi="ar-SA"/>
        </w:rPr>
      </w:pPr>
    </w:p>
    <w:p w14:paraId="028F6606" w14:textId="2136D908" w:rsidR="00912FB4" w:rsidRPr="00912FB4" w:rsidRDefault="00912FB4" w:rsidP="00A02C80">
      <w:pPr>
        <w:pStyle w:val="FSBullet1"/>
        <w:rPr>
          <w:lang w:eastAsia="en-AU"/>
        </w:rPr>
      </w:pPr>
      <w:r w:rsidRPr="00912FB4">
        <w:rPr>
          <w:lang w:eastAsia="en-AU"/>
        </w:rPr>
        <w:t xml:space="preserve">The no observed adverse effect level (NOAEL) in a 13-week repeated dose oral toxicity study in rats was the highest dose tested and corresponds to 10,200 mg/kg </w:t>
      </w:r>
      <w:proofErr w:type="spellStart"/>
      <w:r w:rsidRPr="00912FB4">
        <w:rPr>
          <w:lang w:eastAsia="en-AU"/>
        </w:rPr>
        <w:t>bw</w:t>
      </w:r>
      <w:proofErr w:type="spellEnd"/>
      <w:r w:rsidRPr="00912FB4">
        <w:rPr>
          <w:lang w:eastAsia="en-AU"/>
        </w:rPr>
        <w:t>/day or 581 mg</w:t>
      </w:r>
      <w:r w:rsidR="0036324E">
        <w:rPr>
          <w:lang w:eastAsia="en-AU"/>
        </w:rPr>
        <w:t xml:space="preserve"> total organic solids</w:t>
      </w:r>
      <w:r w:rsidRPr="00912FB4">
        <w:rPr>
          <w:lang w:eastAsia="en-AU"/>
        </w:rPr>
        <w:t xml:space="preserve"> </w:t>
      </w:r>
      <w:r w:rsidR="0036324E">
        <w:rPr>
          <w:lang w:eastAsia="en-AU"/>
        </w:rPr>
        <w:t>(</w:t>
      </w:r>
      <w:r w:rsidRPr="00912FB4">
        <w:rPr>
          <w:lang w:eastAsia="en-AU"/>
        </w:rPr>
        <w:t>TOS</w:t>
      </w:r>
      <w:r w:rsidR="0036324E">
        <w:rPr>
          <w:lang w:eastAsia="en-AU"/>
        </w:rPr>
        <w:t>)</w:t>
      </w:r>
      <w:r w:rsidRPr="00912FB4">
        <w:rPr>
          <w:lang w:eastAsia="en-AU"/>
        </w:rPr>
        <w:t xml:space="preserve">/kg </w:t>
      </w:r>
      <w:proofErr w:type="spellStart"/>
      <w:r w:rsidRPr="00912FB4">
        <w:rPr>
          <w:lang w:eastAsia="en-AU"/>
        </w:rPr>
        <w:t>bw</w:t>
      </w:r>
      <w:proofErr w:type="spellEnd"/>
      <w:r w:rsidRPr="00912FB4">
        <w:rPr>
          <w:lang w:eastAsia="en-AU"/>
        </w:rPr>
        <w:t xml:space="preserve">/day. This is more than 5000-fold higher than the Applicant’s estimate of an individual’s theoretical maximal daily intake (0.102 mg </w:t>
      </w:r>
      <w:r w:rsidR="0036324E">
        <w:rPr>
          <w:lang w:eastAsia="en-AU"/>
        </w:rPr>
        <w:t xml:space="preserve">total </w:t>
      </w:r>
      <w:r w:rsidRPr="00912FB4">
        <w:rPr>
          <w:lang w:eastAsia="en-AU"/>
        </w:rPr>
        <w:t xml:space="preserve">TOS/kg </w:t>
      </w:r>
      <w:proofErr w:type="spellStart"/>
      <w:r w:rsidRPr="00912FB4">
        <w:rPr>
          <w:lang w:eastAsia="en-AU"/>
        </w:rPr>
        <w:t>bw</w:t>
      </w:r>
      <w:proofErr w:type="spellEnd"/>
      <w:r w:rsidRPr="00912FB4">
        <w:rPr>
          <w:lang w:eastAsia="en-AU"/>
        </w:rPr>
        <w:t xml:space="preserve">/day) based on the </w:t>
      </w:r>
      <w:r w:rsidR="008D5D4D">
        <w:rPr>
          <w:lang w:eastAsia="en-AU"/>
        </w:rPr>
        <w:t xml:space="preserve">proposed </w:t>
      </w:r>
      <w:r w:rsidRPr="00912FB4">
        <w:rPr>
          <w:lang w:eastAsia="en-AU"/>
        </w:rPr>
        <w:t>uses in baking, milk and dairy processing, and fats and oil processing</w:t>
      </w:r>
      <w:r w:rsidR="008D5D4D">
        <w:rPr>
          <w:lang w:eastAsia="en-AU"/>
        </w:rPr>
        <w:t>, as stated in the Application</w:t>
      </w:r>
      <w:r w:rsidRPr="00912FB4">
        <w:rPr>
          <w:lang w:eastAsia="en-AU"/>
        </w:rPr>
        <w:t>.</w:t>
      </w:r>
    </w:p>
    <w:p w14:paraId="4555BFC6" w14:textId="77777777" w:rsidR="00437E7B" w:rsidRDefault="00437E7B" w:rsidP="00437E7B">
      <w:pPr>
        <w:widowControl/>
        <w:rPr>
          <w:lang w:eastAsia="en-AU" w:bidi="ar-SA"/>
        </w:rPr>
      </w:pPr>
    </w:p>
    <w:p w14:paraId="3F46EBED" w14:textId="46C09F00" w:rsidR="00437E7B" w:rsidRDefault="00437E7B" w:rsidP="00A02C80">
      <w:pPr>
        <w:pStyle w:val="FSBullet1"/>
        <w:rPr>
          <w:lang w:eastAsia="en-AU"/>
        </w:rPr>
      </w:pPr>
      <w:r>
        <w:rPr>
          <w:lang w:eastAsia="en-AU"/>
        </w:rPr>
        <w:lastRenderedPageBreak/>
        <w:t xml:space="preserve">Triacylglycerol lipase from </w:t>
      </w:r>
      <w:r w:rsidRPr="00DA2F8D">
        <w:rPr>
          <w:i/>
          <w:lang w:eastAsia="en-AU"/>
        </w:rPr>
        <w:t>C</w:t>
      </w:r>
      <w:r w:rsidR="000223DA">
        <w:rPr>
          <w:i/>
          <w:lang w:eastAsia="en-AU"/>
        </w:rPr>
        <w:t>andida</w:t>
      </w:r>
      <w:r w:rsidRPr="00DA2F8D">
        <w:rPr>
          <w:i/>
          <w:lang w:eastAsia="en-AU"/>
        </w:rPr>
        <w:t xml:space="preserve"> </w:t>
      </w:r>
      <w:proofErr w:type="spellStart"/>
      <w:r w:rsidRPr="00DA2F8D">
        <w:rPr>
          <w:i/>
          <w:lang w:eastAsia="en-AU"/>
        </w:rPr>
        <w:t>cylindracea</w:t>
      </w:r>
      <w:proofErr w:type="spellEnd"/>
      <w:r>
        <w:rPr>
          <w:lang w:eastAsia="en-AU"/>
        </w:rPr>
        <w:t xml:space="preserve"> does not share amino acid sequence homology with any known allergens. </w:t>
      </w:r>
      <w:r w:rsidR="00DA2F8D">
        <w:rPr>
          <w:lang w:eastAsia="en-AU"/>
        </w:rPr>
        <w:t xml:space="preserve">No reports of allergenic concerns resulting from use overseas have been identified. </w:t>
      </w:r>
    </w:p>
    <w:p w14:paraId="36D698F6" w14:textId="521080C7" w:rsidR="00437E7B" w:rsidRDefault="00437E7B" w:rsidP="00437E7B">
      <w:pPr>
        <w:widowControl/>
        <w:rPr>
          <w:lang w:eastAsia="en-AU" w:bidi="ar-SA"/>
        </w:rPr>
      </w:pPr>
    </w:p>
    <w:p w14:paraId="5E29319A" w14:textId="27230B16" w:rsidR="00437E7B" w:rsidRDefault="00437E7B" w:rsidP="00437E7B">
      <w:pPr>
        <w:widowControl/>
        <w:rPr>
          <w:rFonts w:eastAsia="Calibri"/>
          <w:color w:val="000000" w:themeColor="text1"/>
          <w:szCs w:val="22"/>
          <w:lang w:bidi="ar-SA"/>
        </w:rPr>
      </w:pPr>
      <w:r>
        <w:rPr>
          <w:lang w:eastAsia="en-AU" w:bidi="ar-SA"/>
        </w:rPr>
        <w:t>Based on the reviewed toxicological data it is concluded that in the absence of any identifiable hazard</w:t>
      </w:r>
      <w:r w:rsidR="00DA2F8D">
        <w:rPr>
          <w:lang w:eastAsia="en-AU" w:bidi="ar-SA"/>
        </w:rPr>
        <w:t xml:space="preserve"> </w:t>
      </w:r>
      <w:proofErr w:type="gramStart"/>
      <w:r w:rsidR="00DA2F8D">
        <w:rPr>
          <w:lang w:eastAsia="en-AU" w:bidi="ar-SA"/>
        </w:rPr>
        <w:t>an</w:t>
      </w:r>
      <w:proofErr w:type="gramEnd"/>
      <w:r w:rsidR="00DA2F8D">
        <w:rPr>
          <w:lang w:eastAsia="en-AU" w:bidi="ar-SA"/>
        </w:rPr>
        <w:t xml:space="preserve"> Acceptable Daily Intake (ADI) ‘not specified’ is appropriate. A dietary exposure assessment </w:t>
      </w:r>
      <w:r w:rsidR="00D72E46">
        <w:rPr>
          <w:lang w:eastAsia="en-AU" w:bidi="ar-SA"/>
        </w:rPr>
        <w:t xml:space="preserve">was </w:t>
      </w:r>
      <w:r w:rsidR="00DA2F8D">
        <w:rPr>
          <w:lang w:eastAsia="en-AU" w:bidi="ar-SA"/>
        </w:rPr>
        <w:t xml:space="preserve">therefore not required. </w:t>
      </w:r>
    </w:p>
    <w:p w14:paraId="160FF160" w14:textId="75C85528" w:rsidR="00437E7B" w:rsidRDefault="00437E7B" w:rsidP="004F589F">
      <w:pPr>
        <w:rPr>
          <w:lang w:eastAsia="en-AU" w:bidi="ar-SA"/>
        </w:rPr>
      </w:pPr>
    </w:p>
    <w:p w14:paraId="4310FCDE" w14:textId="77777777" w:rsidR="009665DA" w:rsidRDefault="009665DA" w:rsidP="004F589F"/>
    <w:p w14:paraId="43BC66B7" w14:textId="77777777" w:rsidR="00092CDA" w:rsidRDefault="00092CDA" w:rsidP="00690206"/>
    <w:p w14:paraId="43BC66B8" w14:textId="77777777" w:rsidR="00092CDA" w:rsidRDefault="00092CDA" w:rsidP="00690206">
      <w:pPr>
        <w:sectPr w:rsidR="00092CDA" w:rsidSect="00A02C80">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3BC66BA" w14:textId="6ABA1C5A" w:rsidR="00562917" w:rsidRDefault="00562917" w:rsidP="00A02C80">
      <w:pPr>
        <w:jc w:val="center"/>
      </w:pPr>
      <w:r w:rsidRPr="00352CF2">
        <w:rPr>
          <w:b/>
          <w:sz w:val="28"/>
          <w:szCs w:val="28"/>
        </w:rPr>
        <w:lastRenderedPageBreak/>
        <w:t xml:space="preserve">Table of </w:t>
      </w:r>
      <w:r w:rsidR="00A77BFA">
        <w:rPr>
          <w:b/>
          <w:sz w:val="28"/>
          <w:szCs w:val="28"/>
        </w:rPr>
        <w:t>c</w:t>
      </w:r>
      <w:r w:rsidRPr="00352CF2">
        <w:rPr>
          <w:b/>
          <w:sz w:val="28"/>
          <w:szCs w:val="28"/>
        </w:rPr>
        <w:t>ontents</w:t>
      </w:r>
    </w:p>
    <w:sdt>
      <w:sdtPr>
        <w:rPr>
          <w:b w:val="0"/>
          <w:bCs w:val="0"/>
          <w:sz w:val="22"/>
          <w:szCs w:val="24"/>
          <w:lang w:bidi="en-US"/>
        </w:rPr>
        <w:id w:val="-1621601646"/>
        <w:docPartObj>
          <w:docPartGallery w:val="Table of Contents"/>
          <w:docPartUnique/>
        </w:docPartObj>
      </w:sdtPr>
      <w:sdtEndPr>
        <w:rPr>
          <w:noProof/>
        </w:rPr>
      </w:sdtEndPr>
      <w:sdtContent>
        <w:p w14:paraId="1B976EFB" w14:textId="5D4711F3" w:rsidR="00005498" w:rsidRPr="006014F1" w:rsidRDefault="00005498" w:rsidP="00005498">
          <w:pPr>
            <w:pStyle w:val="TOCHeading"/>
            <w:ind w:left="0" w:firstLine="0"/>
          </w:pPr>
        </w:p>
        <w:p w14:paraId="56B20C4C" w14:textId="77777777" w:rsidR="008D5D4D" w:rsidRDefault="00005498">
          <w:pPr>
            <w:pStyle w:val="TOC1"/>
            <w:tabs>
              <w:tab w:val="right" w:leader="dot" w:pos="9060"/>
            </w:tabs>
            <w:rPr>
              <w:rFonts w:eastAsiaTheme="minorEastAsia" w:cstheme="minorBidi"/>
              <w:b w:val="0"/>
              <w:bCs w:val="0"/>
              <w:caps w:val="0"/>
              <w:noProof/>
              <w:sz w:val="22"/>
              <w:szCs w:val="22"/>
              <w:lang w:eastAsia="en-GB" w:bidi="ar-SA"/>
            </w:rPr>
          </w:pPr>
          <w:r w:rsidRPr="006014F1">
            <w:fldChar w:fldCharType="begin"/>
          </w:r>
          <w:r w:rsidRPr="006014F1">
            <w:instrText xml:space="preserve"> TOC \o "1-3" \h \z \u </w:instrText>
          </w:r>
          <w:r w:rsidRPr="006014F1">
            <w:fldChar w:fldCharType="separate"/>
          </w:r>
          <w:hyperlink w:anchor="_Toc485991960" w:history="1">
            <w:r w:rsidR="008D5D4D" w:rsidRPr="00FF084B">
              <w:rPr>
                <w:rStyle w:val="Hyperlink"/>
                <w:noProof/>
              </w:rPr>
              <w:t>Executive summary</w:t>
            </w:r>
            <w:r w:rsidR="008D5D4D">
              <w:rPr>
                <w:noProof/>
                <w:webHidden/>
              </w:rPr>
              <w:tab/>
            </w:r>
            <w:r w:rsidR="008D5D4D">
              <w:rPr>
                <w:noProof/>
                <w:webHidden/>
              </w:rPr>
              <w:fldChar w:fldCharType="begin"/>
            </w:r>
            <w:r w:rsidR="008D5D4D">
              <w:rPr>
                <w:noProof/>
                <w:webHidden/>
              </w:rPr>
              <w:instrText xml:space="preserve"> PAGEREF _Toc485991960 \h </w:instrText>
            </w:r>
            <w:r w:rsidR="008D5D4D">
              <w:rPr>
                <w:noProof/>
                <w:webHidden/>
              </w:rPr>
            </w:r>
            <w:r w:rsidR="008D5D4D">
              <w:rPr>
                <w:noProof/>
                <w:webHidden/>
              </w:rPr>
              <w:fldChar w:fldCharType="separate"/>
            </w:r>
            <w:r w:rsidR="008D5D4D">
              <w:rPr>
                <w:noProof/>
                <w:webHidden/>
              </w:rPr>
              <w:t>i</w:t>
            </w:r>
            <w:r w:rsidR="008D5D4D">
              <w:rPr>
                <w:noProof/>
                <w:webHidden/>
              </w:rPr>
              <w:fldChar w:fldCharType="end"/>
            </w:r>
          </w:hyperlink>
        </w:p>
        <w:p w14:paraId="078E9FD2" w14:textId="77777777" w:rsidR="008D5D4D" w:rsidRDefault="0028537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5991961" w:history="1">
            <w:r w:rsidR="008D5D4D" w:rsidRPr="00FF084B">
              <w:rPr>
                <w:rStyle w:val="Hyperlink"/>
                <w:rFonts w:eastAsia="Calibri"/>
                <w:noProof/>
              </w:rPr>
              <w:t>1</w:t>
            </w:r>
            <w:r w:rsidR="008D5D4D">
              <w:rPr>
                <w:rFonts w:eastAsiaTheme="minorEastAsia" w:cstheme="minorBidi"/>
                <w:b w:val="0"/>
                <w:bCs w:val="0"/>
                <w:caps w:val="0"/>
                <w:noProof/>
                <w:sz w:val="22"/>
                <w:szCs w:val="22"/>
                <w:lang w:eastAsia="en-GB" w:bidi="ar-SA"/>
              </w:rPr>
              <w:tab/>
            </w:r>
            <w:r w:rsidR="008D5D4D" w:rsidRPr="00FF084B">
              <w:rPr>
                <w:rStyle w:val="Hyperlink"/>
                <w:noProof/>
              </w:rPr>
              <w:t>Introduction</w:t>
            </w:r>
            <w:r w:rsidR="008D5D4D">
              <w:rPr>
                <w:noProof/>
                <w:webHidden/>
              </w:rPr>
              <w:tab/>
            </w:r>
            <w:r w:rsidR="008D5D4D">
              <w:rPr>
                <w:noProof/>
                <w:webHidden/>
              </w:rPr>
              <w:fldChar w:fldCharType="begin"/>
            </w:r>
            <w:r w:rsidR="008D5D4D">
              <w:rPr>
                <w:noProof/>
                <w:webHidden/>
              </w:rPr>
              <w:instrText xml:space="preserve"> PAGEREF _Toc485991961 \h </w:instrText>
            </w:r>
            <w:r w:rsidR="008D5D4D">
              <w:rPr>
                <w:noProof/>
                <w:webHidden/>
              </w:rPr>
            </w:r>
            <w:r w:rsidR="008D5D4D">
              <w:rPr>
                <w:noProof/>
                <w:webHidden/>
              </w:rPr>
              <w:fldChar w:fldCharType="separate"/>
            </w:r>
            <w:r w:rsidR="008D5D4D">
              <w:rPr>
                <w:noProof/>
                <w:webHidden/>
              </w:rPr>
              <w:t>2</w:t>
            </w:r>
            <w:r w:rsidR="008D5D4D">
              <w:rPr>
                <w:noProof/>
                <w:webHidden/>
              </w:rPr>
              <w:fldChar w:fldCharType="end"/>
            </w:r>
          </w:hyperlink>
        </w:p>
        <w:p w14:paraId="0595F776"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62" w:history="1">
            <w:r w:rsidR="008D5D4D" w:rsidRPr="00FF084B">
              <w:rPr>
                <w:rStyle w:val="Hyperlink"/>
                <w:noProof/>
              </w:rPr>
              <w:t>1.1</w:t>
            </w:r>
            <w:r w:rsidR="008D5D4D">
              <w:rPr>
                <w:rFonts w:eastAsiaTheme="minorEastAsia" w:cstheme="minorBidi"/>
                <w:smallCaps w:val="0"/>
                <w:noProof/>
                <w:sz w:val="22"/>
                <w:szCs w:val="22"/>
                <w:lang w:eastAsia="en-GB" w:bidi="ar-SA"/>
              </w:rPr>
              <w:tab/>
            </w:r>
            <w:r w:rsidR="008D5D4D" w:rsidRPr="00FF084B">
              <w:rPr>
                <w:rStyle w:val="Hyperlink"/>
                <w:noProof/>
              </w:rPr>
              <w:t>Objectives of the assessment</w:t>
            </w:r>
            <w:r w:rsidR="008D5D4D">
              <w:rPr>
                <w:noProof/>
                <w:webHidden/>
              </w:rPr>
              <w:tab/>
            </w:r>
            <w:r w:rsidR="008D5D4D">
              <w:rPr>
                <w:noProof/>
                <w:webHidden/>
              </w:rPr>
              <w:fldChar w:fldCharType="begin"/>
            </w:r>
            <w:r w:rsidR="008D5D4D">
              <w:rPr>
                <w:noProof/>
                <w:webHidden/>
              </w:rPr>
              <w:instrText xml:space="preserve"> PAGEREF _Toc485991962 \h </w:instrText>
            </w:r>
            <w:r w:rsidR="008D5D4D">
              <w:rPr>
                <w:noProof/>
                <w:webHidden/>
              </w:rPr>
            </w:r>
            <w:r w:rsidR="008D5D4D">
              <w:rPr>
                <w:noProof/>
                <w:webHidden/>
              </w:rPr>
              <w:fldChar w:fldCharType="separate"/>
            </w:r>
            <w:r w:rsidR="008D5D4D">
              <w:rPr>
                <w:noProof/>
                <w:webHidden/>
              </w:rPr>
              <w:t>2</w:t>
            </w:r>
            <w:r w:rsidR="008D5D4D">
              <w:rPr>
                <w:noProof/>
                <w:webHidden/>
              </w:rPr>
              <w:fldChar w:fldCharType="end"/>
            </w:r>
          </w:hyperlink>
        </w:p>
        <w:p w14:paraId="654317DF" w14:textId="77777777" w:rsidR="008D5D4D" w:rsidRDefault="0028537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5991963" w:history="1">
            <w:r w:rsidR="008D5D4D" w:rsidRPr="00FF084B">
              <w:rPr>
                <w:rStyle w:val="Hyperlink"/>
                <w:noProof/>
              </w:rPr>
              <w:t>2</w:t>
            </w:r>
            <w:r w:rsidR="008D5D4D">
              <w:rPr>
                <w:rFonts w:eastAsiaTheme="minorEastAsia" w:cstheme="minorBidi"/>
                <w:b w:val="0"/>
                <w:bCs w:val="0"/>
                <w:caps w:val="0"/>
                <w:noProof/>
                <w:sz w:val="22"/>
                <w:szCs w:val="22"/>
                <w:lang w:eastAsia="en-GB" w:bidi="ar-SA"/>
              </w:rPr>
              <w:tab/>
            </w:r>
            <w:r w:rsidR="008D5D4D" w:rsidRPr="00FF084B">
              <w:rPr>
                <w:rStyle w:val="Hyperlink"/>
                <w:noProof/>
              </w:rPr>
              <w:t>Food technology assessment</w:t>
            </w:r>
            <w:r w:rsidR="008D5D4D">
              <w:rPr>
                <w:noProof/>
                <w:webHidden/>
              </w:rPr>
              <w:tab/>
            </w:r>
            <w:r w:rsidR="008D5D4D">
              <w:rPr>
                <w:noProof/>
                <w:webHidden/>
              </w:rPr>
              <w:fldChar w:fldCharType="begin"/>
            </w:r>
            <w:r w:rsidR="008D5D4D">
              <w:rPr>
                <w:noProof/>
                <w:webHidden/>
              </w:rPr>
              <w:instrText xml:space="preserve"> PAGEREF _Toc485991963 \h </w:instrText>
            </w:r>
            <w:r w:rsidR="008D5D4D">
              <w:rPr>
                <w:noProof/>
                <w:webHidden/>
              </w:rPr>
            </w:r>
            <w:r w:rsidR="008D5D4D">
              <w:rPr>
                <w:noProof/>
                <w:webHidden/>
              </w:rPr>
              <w:fldChar w:fldCharType="separate"/>
            </w:r>
            <w:r w:rsidR="008D5D4D">
              <w:rPr>
                <w:noProof/>
                <w:webHidden/>
              </w:rPr>
              <w:t>2</w:t>
            </w:r>
            <w:r w:rsidR="008D5D4D">
              <w:rPr>
                <w:noProof/>
                <w:webHidden/>
              </w:rPr>
              <w:fldChar w:fldCharType="end"/>
            </w:r>
          </w:hyperlink>
        </w:p>
        <w:p w14:paraId="59F7B415"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64" w:history="1">
            <w:r w:rsidR="008D5D4D" w:rsidRPr="00FF084B">
              <w:rPr>
                <w:rStyle w:val="Hyperlink"/>
                <w:noProof/>
              </w:rPr>
              <w:t>2.1</w:t>
            </w:r>
            <w:r w:rsidR="008D5D4D">
              <w:rPr>
                <w:rFonts w:eastAsiaTheme="minorEastAsia" w:cstheme="minorBidi"/>
                <w:smallCaps w:val="0"/>
                <w:noProof/>
                <w:sz w:val="22"/>
                <w:szCs w:val="22"/>
                <w:lang w:eastAsia="en-GB" w:bidi="ar-SA"/>
              </w:rPr>
              <w:tab/>
            </w:r>
            <w:r w:rsidR="008D5D4D" w:rsidRPr="00FF084B">
              <w:rPr>
                <w:rStyle w:val="Hyperlink"/>
                <w:noProof/>
              </w:rPr>
              <w:t>Characterisation of the enzyme</w:t>
            </w:r>
            <w:r w:rsidR="008D5D4D">
              <w:rPr>
                <w:noProof/>
                <w:webHidden/>
              </w:rPr>
              <w:tab/>
            </w:r>
            <w:r w:rsidR="008D5D4D">
              <w:rPr>
                <w:noProof/>
                <w:webHidden/>
              </w:rPr>
              <w:fldChar w:fldCharType="begin"/>
            </w:r>
            <w:r w:rsidR="008D5D4D">
              <w:rPr>
                <w:noProof/>
                <w:webHidden/>
              </w:rPr>
              <w:instrText xml:space="preserve"> PAGEREF _Toc485991964 \h </w:instrText>
            </w:r>
            <w:r w:rsidR="008D5D4D">
              <w:rPr>
                <w:noProof/>
                <w:webHidden/>
              </w:rPr>
            </w:r>
            <w:r w:rsidR="008D5D4D">
              <w:rPr>
                <w:noProof/>
                <w:webHidden/>
              </w:rPr>
              <w:fldChar w:fldCharType="separate"/>
            </w:r>
            <w:r w:rsidR="008D5D4D">
              <w:rPr>
                <w:noProof/>
                <w:webHidden/>
              </w:rPr>
              <w:t>2</w:t>
            </w:r>
            <w:r w:rsidR="008D5D4D">
              <w:rPr>
                <w:noProof/>
                <w:webHidden/>
              </w:rPr>
              <w:fldChar w:fldCharType="end"/>
            </w:r>
          </w:hyperlink>
        </w:p>
        <w:p w14:paraId="0EC45CF4"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65" w:history="1">
            <w:r w:rsidR="008D5D4D" w:rsidRPr="00FF084B">
              <w:rPr>
                <w:rStyle w:val="Hyperlink"/>
                <w:noProof/>
              </w:rPr>
              <w:t>2.1.1</w:t>
            </w:r>
            <w:r w:rsidR="008D5D4D">
              <w:rPr>
                <w:rFonts w:eastAsiaTheme="minorEastAsia" w:cstheme="minorBidi"/>
                <w:i w:val="0"/>
                <w:iCs w:val="0"/>
                <w:noProof/>
                <w:sz w:val="22"/>
                <w:szCs w:val="22"/>
                <w:lang w:eastAsia="en-GB" w:bidi="ar-SA"/>
              </w:rPr>
              <w:tab/>
            </w:r>
            <w:r w:rsidR="008D5D4D" w:rsidRPr="00FF084B">
              <w:rPr>
                <w:rStyle w:val="Hyperlink"/>
                <w:noProof/>
              </w:rPr>
              <w:t>Identity of the enzyme</w:t>
            </w:r>
            <w:r w:rsidR="008D5D4D">
              <w:rPr>
                <w:noProof/>
                <w:webHidden/>
              </w:rPr>
              <w:tab/>
            </w:r>
            <w:r w:rsidR="008D5D4D">
              <w:rPr>
                <w:noProof/>
                <w:webHidden/>
              </w:rPr>
              <w:fldChar w:fldCharType="begin"/>
            </w:r>
            <w:r w:rsidR="008D5D4D">
              <w:rPr>
                <w:noProof/>
                <w:webHidden/>
              </w:rPr>
              <w:instrText xml:space="preserve"> PAGEREF _Toc485991965 \h </w:instrText>
            </w:r>
            <w:r w:rsidR="008D5D4D">
              <w:rPr>
                <w:noProof/>
                <w:webHidden/>
              </w:rPr>
            </w:r>
            <w:r w:rsidR="008D5D4D">
              <w:rPr>
                <w:noProof/>
                <w:webHidden/>
              </w:rPr>
              <w:fldChar w:fldCharType="separate"/>
            </w:r>
            <w:r w:rsidR="008D5D4D">
              <w:rPr>
                <w:noProof/>
                <w:webHidden/>
              </w:rPr>
              <w:t>2</w:t>
            </w:r>
            <w:r w:rsidR="008D5D4D">
              <w:rPr>
                <w:noProof/>
                <w:webHidden/>
              </w:rPr>
              <w:fldChar w:fldCharType="end"/>
            </w:r>
          </w:hyperlink>
        </w:p>
        <w:p w14:paraId="1E2EAF85"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66" w:history="1">
            <w:r w:rsidR="008D5D4D" w:rsidRPr="00FF084B">
              <w:rPr>
                <w:rStyle w:val="Hyperlink"/>
                <w:noProof/>
              </w:rPr>
              <w:t>2.1.2</w:t>
            </w:r>
            <w:r w:rsidR="008D5D4D">
              <w:rPr>
                <w:rFonts w:eastAsiaTheme="minorEastAsia" w:cstheme="minorBidi"/>
                <w:i w:val="0"/>
                <w:iCs w:val="0"/>
                <w:noProof/>
                <w:sz w:val="22"/>
                <w:szCs w:val="22"/>
                <w:lang w:eastAsia="en-GB" w:bidi="ar-SA"/>
              </w:rPr>
              <w:tab/>
            </w:r>
            <w:r w:rsidR="008D5D4D" w:rsidRPr="00FF084B">
              <w:rPr>
                <w:rStyle w:val="Hyperlink"/>
                <w:noProof/>
              </w:rPr>
              <w:t>Technological purpose</w:t>
            </w:r>
            <w:r w:rsidR="008D5D4D">
              <w:rPr>
                <w:noProof/>
                <w:webHidden/>
              </w:rPr>
              <w:tab/>
            </w:r>
            <w:r w:rsidR="008D5D4D">
              <w:rPr>
                <w:noProof/>
                <w:webHidden/>
              </w:rPr>
              <w:fldChar w:fldCharType="begin"/>
            </w:r>
            <w:r w:rsidR="008D5D4D">
              <w:rPr>
                <w:noProof/>
                <w:webHidden/>
              </w:rPr>
              <w:instrText xml:space="preserve"> PAGEREF _Toc485991966 \h </w:instrText>
            </w:r>
            <w:r w:rsidR="008D5D4D">
              <w:rPr>
                <w:noProof/>
                <w:webHidden/>
              </w:rPr>
            </w:r>
            <w:r w:rsidR="008D5D4D">
              <w:rPr>
                <w:noProof/>
                <w:webHidden/>
              </w:rPr>
              <w:fldChar w:fldCharType="separate"/>
            </w:r>
            <w:r w:rsidR="008D5D4D">
              <w:rPr>
                <w:noProof/>
                <w:webHidden/>
              </w:rPr>
              <w:t>3</w:t>
            </w:r>
            <w:r w:rsidR="008D5D4D">
              <w:rPr>
                <w:noProof/>
                <w:webHidden/>
              </w:rPr>
              <w:fldChar w:fldCharType="end"/>
            </w:r>
          </w:hyperlink>
        </w:p>
        <w:p w14:paraId="0010419C"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67" w:history="1">
            <w:r w:rsidR="008D5D4D" w:rsidRPr="00FF084B">
              <w:rPr>
                <w:rStyle w:val="Hyperlink"/>
                <w:noProof/>
              </w:rPr>
              <w:t>2.2</w:t>
            </w:r>
            <w:r w:rsidR="008D5D4D">
              <w:rPr>
                <w:rFonts w:eastAsiaTheme="minorEastAsia" w:cstheme="minorBidi"/>
                <w:smallCaps w:val="0"/>
                <w:noProof/>
                <w:sz w:val="22"/>
                <w:szCs w:val="22"/>
                <w:lang w:eastAsia="en-GB" w:bidi="ar-SA"/>
              </w:rPr>
              <w:tab/>
            </w:r>
            <w:r w:rsidR="008D5D4D" w:rsidRPr="00FF084B">
              <w:rPr>
                <w:rStyle w:val="Hyperlink"/>
                <w:noProof/>
              </w:rPr>
              <w:t>Manufacturing process</w:t>
            </w:r>
            <w:r w:rsidR="008D5D4D">
              <w:rPr>
                <w:noProof/>
                <w:webHidden/>
              </w:rPr>
              <w:tab/>
            </w:r>
            <w:r w:rsidR="008D5D4D">
              <w:rPr>
                <w:noProof/>
                <w:webHidden/>
              </w:rPr>
              <w:fldChar w:fldCharType="begin"/>
            </w:r>
            <w:r w:rsidR="008D5D4D">
              <w:rPr>
                <w:noProof/>
                <w:webHidden/>
              </w:rPr>
              <w:instrText xml:space="preserve"> PAGEREF _Toc485991967 \h </w:instrText>
            </w:r>
            <w:r w:rsidR="008D5D4D">
              <w:rPr>
                <w:noProof/>
                <w:webHidden/>
              </w:rPr>
            </w:r>
            <w:r w:rsidR="008D5D4D">
              <w:rPr>
                <w:noProof/>
                <w:webHidden/>
              </w:rPr>
              <w:fldChar w:fldCharType="separate"/>
            </w:r>
            <w:r w:rsidR="008D5D4D">
              <w:rPr>
                <w:noProof/>
                <w:webHidden/>
              </w:rPr>
              <w:t>3</w:t>
            </w:r>
            <w:r w:rsidR="008D5D4D">
              <w:rPr>
                <w:noProof/>
                <w:webHidden/>
              </w:rPr>
              <w:fldChar w:fldCharType="end"/>
            </w:r>
          </w:hyperlink>
        </w:p>
        <w:p w14:paraId="0AB1AB4F"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68" w:history="1">
            <w:r w:rsidR="008D5D4D" w:rsidRPr="00FF084B">
              <w:rPr>
                <w:rStyle w:val="Hyperlink"/>
                <w:noProof/>
              </w:rPr>
              <w:t>2.2.1</w:t>
            </w:r>
            <w:r w:rsidR="008D5D4D">
              <w:rPr>
                <w:rFonts w:eastAsiaTheme="minorEastAsia" w:cstheme="minorBidi"/>
                <w:i w:val="0"/>
                <w:iCs w:val="0"/>
                <w:noProof/>
                <w:sz w:val="22"/>
                <w:szCs w:val="22"/>
                <w:lang w:eastAsia="en-GB" w:bidi="ar-SA"/>
              </w:rPr>
              <w:tab/>
            </w:r>
            <w:r w:rsidR="008D5D4D" w:rsidRPr="00FF084B">
              <w:rPr>
                <w:rStyle w:val="Hyperlink"/>
                <w:noProof/>
              </w:rPr>
              <w:t>Production of the enzyme</w:t>
            </w:r>
            <w:r w:rsidR="008D5D4D">
              <w:rPr>
                <w:noProof/>
                <w:webHidden/>
              </w:rPr>
              <w:tab/>
            </w:r>
            <w:r w:rsidR="008D5D4D">
              <w:rPr>
                <w:noProof/>
                <w:webHidden/>
              </w:rPr>
              <w:fldChar w:fldCharType="begin"/>
            </w:r>
            <w:r w:rsidR="008D5D4D">
              <w:rPr>
                <w:noProof/>
                <w:webHidden/>
              </w:rPr>
              <w:instrText xml:space="preserve"> PAGEREF _Toc485991968 \h </w:instrText>
            </w:r>
            <w:r w:rsidR="008D5D4D">
              <w:rPr>
                <w:noProof/>
                <w:webHidden/>
              </w:rPr>
            </w:r>
            <w:r w:rsidR="008D5D4D">
              <w:rPr>
                <w:noProof/>
                <w:webHidden/>
              </w:rPr>
              <w:fldChar w:fldCharType="separate"/>
            </w:r>
            <w:r w:rsidR="008D5D4D">
              <w:rPr>
                <w:noProof/>
                <w:webHidden/>
              </w:rPr>
              <w:t>3</w:t>
            </w:r>
            <w:r w:rsidR="008D5D4D">
              <w:rPr>
                <w:noProof/>
                <w:webHidden/>
              </w:rPr>
              <w:fldChar w:fldCharType="end"/>
            </w:r>
          </w:hyperlink>
        </w:p>
        <w:p w14:paraId="5D059A90"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69" w:history="1">
            <w:r w:rsidR="008D5D4D" w:rsidRPr="00FF084B">
              <w:rPr>
                <w:rStyle w:val="Hyperlink"/>
                <w:noProof/>
              </w:rPr>
              <w:t>2.2.2</w:t>
            </w:r>
            <w:r w:rsidR="008D5D4D">
              <w:rPr>
                <w:rFonts w:eastAsiaTheme="minorEastAsia" w:cstheme="minorBidi"/>
                <w:i w:val="0"/>
                <w:iCs w:val="0"/>
                <w:noProof/>
                <w:sz w:val="22"/>
                <w:szCs w:val="22"/>
                <w:lang w:eastAsia="en-GB" w:bidi="ar-SA"/>
              </w:rPr>
              <w:tab/>
            </w:r>
            <w:r w:rsidR="008D5D4D" w:rsidRPr="00FF084B">
              <w:rPr>
                <w:rStyle w:val="Hyperlink"/>
                <w:noProof/>
              </w:rPr>
              <w:t>Specifications</w:t>
            </w:r>
            <w:r w:rsidR="008D5D4D">
              <w:rPr>
                <w:noProof/>
                <w:webHidden/>
              </w:rPr>
              <w:tab/>
            </w:r>
            <w:r w:rsidR="008D5D4D">
              <w:rPr>
                <w:noProof/>
                <w:webHidden/>
              </w:rPr>
              <w:fldChar w:fldCharType="begin"/>
            </w:r>
            <w:r w:rsidR="008D5D4D">
              <w:rPr>
                <w:noProof/>
                <w:webHidden/>
              </w:rPr>
              <w:instrText xml:space="preserve"> PAGEREF _Toc485991969 \h </w:instrText>
            </w:r>
            <w:r w:rsidR="008D5D4D">
              <w:rPr>
                <w:noProof/>
                <w:webHidden/>
              </w:rPr>
            </w:r>
            <w:r w:rsidR="008D5D4D">
              <w:rPr>
                <w:noProof/>
                <w:webHidden/>
              </w:rPr>
              <w:fldChar w:fldCharType="separate"/>
            </w:r>
            <w:r w:rsidR="008D5D4D">
              <w:rPr>
                <w:noProof/>
                <w:webHidden/>
              </w:rPr>
              <w:t>4</w:t>
            </w:r>
            <w:r w:rsidR="008D5D4D">
              <w:rPr>
                <w:noProof/>
                <w:webHidden/>
              </w:rPr>
              <w:fldChar w:fldCharType="end"/>
            </w:r>
          </w:hyperlink>
        </w:p>
        <w:p w14:paraId="3B077BE5"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70" w:history="1">
            <w:r w:rsidR="008D5D4D" w:rsidRPr="00FF084B">
              <w:rPr>
                <w:rStyle w:val="Hyperlink"/>
                <w:noProof/>
              </w:rPr>
              <w:t>2.2.3</w:t>
            </w:r>
            <w:r w:rsidR="008D5D4D">
              <w:rPr>
                <w:rFonts w:eastAsiaTheme="minorEastAsia" w:cstheme="minorBidi"/>
                <w:i w:val="0"/>
                <w:iCs w:val="0"/>
                <w:noProof/>
                <w:sz w:val="22"/>
                <w:szCs w:val="22"/>
                <w:lang w:eastAsia="en-GB" w:bidi="ar-SA"/>
              </w:rPr>
              <w:tab/>
            </w:r>
            <w:r w:rsidR="008D5D4D" w:rsidRPr="00FF084B">
              <w:rPr>
                <w:rStyle w:val="Hyperlink"/>
                <w:noProof/>
              </w:rPr>
              <w:t>Stability</w:t>
            </w:r>
            <w:r w:rsidR="008D5D4D">
              <w:rPr>
                <w:noProof/>
                <w:webHidden/>
              </w:rPr>
              <w:tab/>
            </w:r>
            <w:r w:rsidR="008D5D4D">
              <w:rPr>
                <w:noProof/>
                <w:webHidden/>
              </w:rPr>
              <w:fldChar w:fldCharType="begin"/>
            </w:r>
            <w:r w:rsidR="008D5D4D">
              <w:rPr>
                <w:noProof/>
                <w:webHidden/>
              </w:rPr>
              <w:instrText xml:space="preserve"> PAGEREF _Toc485991970 \h </w:instrText>
            </w:r>
            <w:r w:rsidR="008D5D4D">
              <w:rPr>
                <w:noProof/>
                <w:webHidden/>
              </w:rPr>
            </w:r>
            <w:r w:rsidR="008D5D4D">
              <w:rPr>
                <w:noProof/>
                <w:webHidden/>
              </w:rPr>
              <w:fldChar w:fldCharType="separate"/>
            </w:r>
            <w:r w:rsidR="008D5D4D">
              <w:rPr>
                <w:noProof/>
                <w:webHidden/>
              </w:rPr>
              <w:t>5</w:t>
            </w:r>
            <w:r w:rsidR="008D5D4D">
              <w:rPr>
                <w:noProof/>
                <w:webHidden/>
              </w:rPr>
              <w:fldChar w:fldCharType="end"/>
            </w:r>
          </w:hyperlink>
        </w:p>
        <w:p w14:paraId="2928D1F1"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71" w:history="1">
            <w:r w:rsidR="008D5D4D" w:rsidRPr="00FF084B">
              <w:rPr>
                <w:rStyle w:val="Hyperlink"/>
                <w:noProof/>
              </w:rPr>
              <w:t>2.3</w:t>
            </w:r>
            <w:r w:rsidR="008D5D4D">
              <w:rPr>
                <w:rFonts w:eastAsiaTheme="minorEastAsia" w:cstheme="minorBidi"/>
                <w:smallCaps w:val="0"/>
                <w:noProof/>
                <w:sz w:val="22"/>
                <w:szCs w:val="22"/>
                <w:lang w:eastAsia="en-GB" w:bidi="ar-SA"/>
              </w:rPr>
              <w:tab/>
            </w:r>
            <w:r w:rsidR="008D5D4D" w:rsidRPr="00FF084B">
              <w:rPr>
                <w:rStyle w:val="Hyperlink"/>
                <w:noProof/>
              </w:rPr>
              <w:t>Food technology conclusion</w:t>
            </w:r>
            <w:r w:rsidR="008D5D4D">
              <w:rPr>
                <w:noProof/>
                <w:webHidden/>
              </w:rPr>
              <w:tab/>
            </w:r>
            <w:r w:rsidR="008D5D4D">
              <w:rPr>
                <w:noProof/>
                <w:webHidden/>
              </w:rPr>
              <w:fldChar w:fldCharType="begin"/>
            </w:r>
            <w:r w:rsidR="008D5D4D">
              <w:rPr>
                <w:noProof/>
                <w:webHidden/>
              </w:rPr>
              <w:instrText xml:space="preserve"> PAGEREF _Toc485991971 \h </w:instrText>
            </w:r>
            <w:r w:rsidR="008D5D4D">
              <w:rPr>
                <w:noProof/>
                <w:webHidden/>
              </w:rPr>
            </w:r>
            <w:r w:rsidR="008D5D4D">
              <w:rPr>
                <w:noProof/>
                <w:webHidden/>
              </w:rPr>
              <w:fldChar w:fldCharType="separate"/>
            </w:r>
            <w:r w:rsidR="008D5D4D">
              <w:rPr>
                <w:noProof/>
                <w:webHidden/>
              </w:rPr>
              <w:t>5</w:t>
            </w:r>
            <w:r w:rsidR="008D5D4D">
              <w:rPr>
                <w:noProof/>
                <w:webHidden/>
              </w:rPr>
              <w:fldChar w:fldCharType="end"/>
            </w:r>
          </w:hyperlink>
        </w:p>
        <w:p w14:paraId="1E0AC48C" w14:textId="77777777" w:rsidR="008D5D4D" w:rsidRDefault="0028537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5991972" w:history="1">
            <w:r w:rsidR="008D5D4D" w:rsidRPr="00FF084B">
              <w:rPr>
                <w:rStyle w:val="Hyperlink"/>
                <w:rFonts w:eastAsia="Calibri"/>
                <w:noProof/>
              </w:rPr>
              <w:t>3</w:t>
            </w:r>
            <w:r w:rsidR="008D5D4D">
              <w:rPr>
                <w:rFonts w:eastAsiaTheme="minorEastAsia" w:cstheme="minorBidi"/>
                <w:b w:val="0"/>
                <w:bCs w:val="0"/>
                <w:caps w:val="0"/>
                <w:noProof/>
                <w:sz w:val="22"/>
                <w:szCs w:val="22"/>
                <w:lang w:eastAsia="en-GB" w:bidi="ar-SA"/>
              </w:rPr>
              <w:tab/>
            </w:r>
            <w:r w:rsidR="008D5D4D" w:rsidRPr="00FF084B">
              <w:rPr>
                <w:rStyle w:val="Hyperlink"/>
                <w:rFonts w:eastAsia="Calibri"/>
                <w:noProof/>
              </w:rPr>
              <w:t>Hazard assessment</w:t>
            </w:r>
            <w:r w:rsidR="008D5D4D">
              <w:rPr>
                <w:noProof/>
                <w:webHidden/>
              </w:rPr>
              <w:tab/>
            </w:r>
            <w:r w:rsidR="008D5D4D">
              <w:rPr>
                <w:noProof/>
                <w:webHidden/>
              </w:rPr>
              <w:fldChar w:fldCharType="begin"/>
            </w:r>
            <w:r w:rsidR="008D5D4D">
              <w:rPr>
                <w:noProof/>
                <w:webHidden/>
              </w:rPr>
              <w:instrText xml:space="preserve"> PAGEREF _Toc485991972 \h </w:instrText>
            </w:r>
            <w:r w:rsidR="008D5D4D">
              <w:rPr>
                <w:noProof/>
                <w:webHidden/>
              </w:rPr>
            </w:r>
            <w:r w:rsidR="008D5D4D">
              <w:rPr>
                <w:noProof/>
                <w:webHidden/>
              </w:rPr>
              <w:fldChar w:fldCharType="separate"/>
            </w:r>
            <w:r w:rsidR="008D5D4D">
              <w:rPr>
                <w:noProof/>
                <w:webHidden/>
              </w:rPr>
              <w:t>5</w:t>
            </w:r>
            <w:r w:rsidR="008D5D4D">
              <w:rPr>
                <w:noProof/>
                <w:webHidden/>
              </w:rPr>
              <w:fldChar w:fldCharType="end"/>
            </w:r>
          </w:hyperlink>
        </w:p>
        <w:p w14:paraId="1E22F8F7"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73" w:history="1">
            <w:r w:rsidR="008D5D4D" w:rsidRPr="00FF084B">
              <w:rPr>
                <w:rStyle w:val="Hyperlink"/>
                <w:noProof/>
              </w:rPr>
              <w:t>3.1</w:t>
            </w:r>
            <w:r w:rsidR="008D5D4D">
              <w:rPr>
                <w:rFonts w:eastAsiaTheme="minorEastAsia" w:cstheme="minorBidi"/>
                <w:smallCaps w:val="0"/>
                <w:noProof/>
                <w:sz w:val="22"/>
                <w:szCs w:val="22"/>
                <w:lang w:eastAsia="en-GB" w:bidi="ar-SA"/>
              </w:rPr>
              <w:tab/>
            </w:r>
            <w:r w:rsidR="008D5D4D" w:rsidRPr="00FF084B">
              <w:rPr>
                <w:rStyle w:val="Hyperlink"/>
                <w:noProof/>
              </w:rPr>
              <w:t>Background</w:t>
            </w:r>
            <w:r w:rsidR="008D5D4D">
              <w:rPr>
                <w:noProof/>
                <w:webHidden/>
              </w:rPr>
              <w:tab/>
            </w:r>
            <w:r w:rsidR="008D5D4D">
              <w:rPr>
                <w:noProof/>
                <w:webHidden/>
              </w:rPr>
              <w:fldChar w:fldCharType="begin"/>
            </w:r>
            <w:r w:rsidR="008D5D4D">
              <w:rPr>
                <w:noProof/>
                <w:webHidden/>
              </w:rPr>
              <w:instrText xml:space="preserve"> PAGEREF _Toc485991973 \h </w:instrText>
            </w:r>
            <w:r w:rsidR="008D5D4D">
              <w:rPr>
                <w:noProof/>
                <w:webHidden/>
              </w:rPr>
            </w:r>
            <w:r w:rsidR="008D5D4D">
              <w:rPr>
                <w:noProof/>
                <w:webHidden/>
              </w:rPr>
              <w:fldChar w:fldCharType="separate"/>
            </w:r>
            <w:r w:rsidR="008D5D4D">
              <w:rPr>
                <w:noProof/>
                <w:webHidden/>
              </w:rPr>
              <w:t>5</w:t>
            </w:r>
            <w:r w:rsidR="008D5D4D">
              <w:rPr>
                <w:noProof/>
                <w:webHidden/>
              </w:rPr>
              <w:fldChar w:fldCharType="end"/>
            </w:r>
          </w:hyperlink>
        </w:p>
        <w:p w14:paraId="3EB5E7DC"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74" w:history="1">
            <w:r w:rsidR="008D5D4D" w:rsidRPr="00FF084B">
              <w:rPr>
                <w:rStyle w:val="Hyperlink"/>
                <w:noProof/>
              </w:rPr>
              <w:t>3.1.1</w:t>
            </w:r>
            <w:r w:rsidR="008D5D4D">
              <w:rPr>
                <w:rFonts w:eastAsiaTheme="minorEastAsia" w:cstheme="minorBidi"/>
                <w:i w:val="0"/>
                <w:iCs w:val="0"/>
                <w:noProof/>
                <w:sz w:val="22"/>
                <w:szCs w:val="22"/>
                <w:lang w:eastAsia="en-GB" w:bidi="ar-SA"/>
              </w:rPr>
              <w:tab/>
            </w:r>
            <w:r w:rsidR="008D5D4D" w:rsidRPr="00FF084B">
              <w:rPr>
                <w:rStyle w:val="Hyperlink"/>
                <w:noProof/>
              </w:rPr>
              <w:t>Scope of the hazard assessment</w:t>
            </w:r>
            <w:r w:rsidR="008D5D4D">
              <w:rPr>
                <w:noProof/>
                <w:webHidden/>
              </w:rPr>
              <w:tab/>
            </w:r>
            <w:r w:rsidR="008D5D4D">
              <w:rPr>
                <w:noProof/>
                <w:webHidden/>
              </w:rPr>
              <w:fldChar w:fldCharType="begin"/>
            </w:r>
            <w:r w:rsidR="008D5D4D">
              <w:rPr>
                <w:noProof/>
                <w:webHidden/>
              </w:rPr>
              <w:instrText xml:space="preserve"> PAGEREF _Toc485991974 \h </w:instrText>
            </w:r>
            <w:r w:rsidR="008D5D4D">
              <w:rPr>
                <w:noProof/>
                <w:webHidden/>
              </w:rPr>
            </w:r>
            <w:r w:rsidR="008D5D4D">
              <w:rPr>
                <w:noProof/>
                <w:webHidden/>
              </w:rPr>
              <w:fldChar w:fldCharType="separate"/>
            </w:r>
            <w:r w:rsidR="008D5D4D">
              <w:rPr>
                <w:noProof/>
                <w:webHidden/>
              </w:rPr>
              <w:t>5</w:t>
            </w:r>
            <w:r w:rsidR="008D5D4D">
              <w:rPr>
                <w:noProof/>
                <w:webHidden/>
              </w:rPr>
              <w:fldChar w:fldCharType="end"/>
            </w:r>
          </w:hyperlink>
        </w:p>
        <w:p w14:paraId="638CAB60"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75" w:history="1">
            <w:r w:rsidR="008D5D4D" w:rsidRPr="00FF084B">
              <w:rPr>
                <w:rStyle w:val="Hyperlink"/>
                <w:noProof/>
              </w:rPr>
              <w:t>3.2</w:t>
            </w:r>
            <w:r w:rsidR="008D5D4D">
              <w:rPr>
                <w:rFonts w:eastAsiaTheme="minorEastAsia" w:cstheme="minorBidi"/>
                <w:smallCaps w:val="0"/>
                <w:noProof/>
                <w:sz w:val="22"/>
                <w:szCs w:val="22"/>
                <w:lang w:eastAsia="en-GB" w:bidi="ar-SA"/>
              </w:rPr>
              <w:tab/>
            </w:r>
            <w:r w:rsidR="008D5D4D" w:rsidRPr="00FF084B">
              <w:rPr>
                <w:rStyle w:val="Hyperlink"/>
                <w:noProof/>
              </w:rPr>
              <w:t>Hazard of the production organism</w:t>
            </w:r>
            <w:r w:rsidR="008D5D4D">
              <w:rPr>
                <w:noProof/>
                <w:webHidden/>
              </w:rPr>
              <w:tab/>
            </w:r>
            <w:r w:rsidR="008D5D4D">
              <w:rPr>
                <w:noProof/>
                <w:webHidden/>
              </w:rPr>
              <w:fldChar w:fldCharType="begin"/>
            </w:r>
            <w:r w:rsidR="008D5D4D">
              <w:rPr>
                <w:noProof/>
                <w:webHidden/>
              </w:rPr>
              <w:instrText xml:space="preserve"> PAGEREF _Toc485991975 \h </w:instrText>
            </w:r>
            <w:r w:rsidR="008D5D4D">
              <w:rPr>
                <w:noProof/>
                <w:webHidden/>
              </w:rPr>
            </w:r>
            <w:r w:rsidR="008D5D4D">
              <w:rPr>
                <w:noProof/>
                <w:webHidden/>
              </w:rPr>
              <w:fldChar w:fldCharType="separate"/>
            </w:r>
            <w:r w:rsidR="008D5D4D">
              <w:rPr>
                <w:noProof/>
                <w:webHidden/>
              </w:rPr>
              <w:t>6</w:t>
            </w:r>
            <w:r w:rsidR="008D5D4D">
              <w:rPr>
                <w:noProof/>
                <w:webHidden/>
              </w:rPr>
              <w:fldChar w:fldCharType="end"/>
            </w:r>
          </w:hyperlink>
        </w:p>
        <w:p w14:paraId="26977484"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76" w:history="1">
            <w:r w:rsidR="008D5D4D" w:rsidRPr="00FF084B">
              <w:rPr>
                <w:rStyle w:val="Hyperlink"/>
                <w:noProof/>
              </w:rPr>
              <w:t>3.3</w:t>
            </w:r>
            <w:r w:rsidR="008D5D4D">
              <w:rPr>
                <w:rFonts w:eastAsiaTheme="minorEastAsia" w:cstheme="minorBidi"/>
                <w:smallCaps w:val="0"/>
                <w:noProof/>
                <w:sz w:val="22"/>
                <w:szCs w:val="22"/>
                <w:lang w:eastAsia="en-GB" w:bidi="ar-SA"/>
              </w:rPr>
              <w:tab/>
            </w:r>
            <w:r w:rsidR="008D5D4D" w:rsidRPr="00FF084B">
              <w:rPr>
                <w:rStyle w:val="Hyperlink"/>
                <w:noProof/>
              </w:rPr>
              <w:t>Hazard of the enzyme</w:t>
            </w:r>
            <w:r w:rsidR="008D5D4D">
              <w:rPr>
                <w:noProof/>
                <w:webHidden/>
              </w:rPr>
              <w:tab/>
            </w:r>
            <w:r w:rsidR="008D5D4D">
              <w:rPr>
                <w:noProof/>
                <w:webHidden/>
              </w:rPr>
              <w:fldChar w:fldCharType="begin"/>
            </w:r>
            <w:r w:rsidR="008D5D4D">
              <w:rPr>
                <w:noProof/>
                <w:webHidden/>
              </w:rPr>
              <w:instrText xml:space="preserve"> PAGEREF _Toc485991976 \h </w:instrText>
            </w:r>
            <w:r w:rsidR="008D5D4D">
              <w:rPr>
                <w:noProof/>
                <w:webHidden/>
              </w:rPr>
            </w:r>
            <w:r w:rsidR="008D5D4D">
              <w:rPr>
                <w:noProof/>
                <w:webHidden/>
              </w:rPr>
              <w:fldChar w:fldCharType="separate"/>
            </w:r>
            <w:r w:rsidR="008D5D4D">
              <w:rPr>
                <w:noProof/>
                <w:webHidden/>
              </w:rPr>
              <w:t>6</w:t>
            </w:r>
            <w:r w:rsidR="008D5D4D">
              <w:rPr>
                <w:noProof/>
                <w:webHidden/>
              </w:rPr>
              <w:fldChar w:fldCharType="end"/>
            </w:r>
          </w:hyperlink>
        </w:p>
        <w:p w14:paraId="1B5DC259"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77" w:history="1">
            <w:r w:rsidR="008D5D4D" w:rsidRPr="00FF084B">
              <w:rPr>
                <w:rStyle w:val="Hyperlink"/>
                <w:noProof/>
              </w:rPr>
              <w:t>3.3.1</w:t>
            </w:r>
            <w:r w:rsidR="008D5D4D">
              <w:rPr>
                <w:rFonts w:eastAsiaTheme="minorEastAsia" w:cstheme="minorBidi"/>
                <w:i w:val="0"/>
                <w:iCs w:val="0"/>
                <w:noProof/>
                <w:sz w:val="22"/>
                <w:szCs w:val="22"/>
                <w:lang w:eastAsia="en-GB" w:bidi="ar-SA"/>
              </w:rPr>
              <w:tab/>
            </w:r>
            <w:r w:rsidR="008D5D4D" w:rsidRPr="00FF084B">
              <w:rPr>
                <w:rStyle w:val="Hyperlink"/>
                <w:noProof/>
              </w:rPr>
              <w:t>Use of the enzyme as a food processing aid in other countries</w:t>
            </w:r>
            <w:r w:rsidR="008D5D4D">
              <w:rPr>
                <w:noProof/>
                <w:webHidden/>
              </w:rPr>
              <w:tab/>
            </w:r>
            <w:r w:rsidR="008D5D4D">
              <w:rPr>
                <w:noProof/>
                <w:webHidden/>
              </w:rPr>
              <w:fldChar w:fldCharType="begin"/>
            </w:r>
            <w:r w:rsidR="008D5D4D">
              <w:rPr>
                <w:noProof/>
                <w:webHidden/>
              </w:rPr>
              <w:instrText xml:space="preserve"> PAGEREF _Toc485991977 \h </w:instrText>
            </w:r>
            <w:r w:rsidR="008D5D4D">
              <w:rPr>
                <w:noProof/>
                <w:webHidden/>
              </w:rPr>
            </w:r>
            <w:r w:rsidR="008D5D4D">
              <w:rPr>
                <w:noProof/>
                <w:webHidden/>
              </w:rPr>
              <w:fldChar w:fldCharType="separate"/>
            </w:r>
            <w:r w:rsidR="008D5D4D">
              <w:rPr>
                <w:noProof/>
                <w:webHidden/>
              </w:rPr>
              <w:t>6</w:t>
            </w:r>
            <w:r w:rsidR="008D5D4D">
              <w:rPr>
                <w:noProof/>
                <w:webHidden/>
              </w:rPr>
              <w:fldChar w:fldCharType="end"/>
            </w:r>
          </w:hyperlink>
        </w:p>
        <w:p w14:paraId="76F5945D"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78" w:history="1">
            <w:r w:rsidR="008D5D4D" w:rsidRPr="00FF084B">
              <w:rPr>
                <w:rStyle w:val="Hyperlink"/>
                <w:noProof/>
              </w:rPr>
              <w:t>3.4</w:t>
            </w:r>
            <w:r w:rsidR="008D5D4D">
              <w:rPr>
                <w:rFonts w:eastAsiaTheme="minorEastAsia" w:cstheme="minorBidi"/>
                <w:smallCaps w:val="0"/>
                <w:noProof/>
                <w:sz w:val="22"/>
                <w:szCs w:val="22"/>
                <w:lang w:eastAsia="en-GB" w:bidi="ar-SA"/>
              </w:rPr>
              <w:tab/>
            </w:r>
            <w:r w:rsidR="008D5D4D" w:rsidRPr="00FF084B">
              <w:rPr>
                <w:rStyle w:val="Hyperlink"/>
                <w:noProof/>
              </w:rPr>
              <w:t>Evaluation of toxicity studies of the enzyme product</w:t>
            </w:r>
            <w:r w:rsidR="008D5D4D">
              <w:rPr>
                <w:noProof/>
                <w:webHidden/>
              </w:rPr>
              <w:tab/>
            </w:r>
            <w:r w:rsidR="008D5D4D">
              <w:rPr>
                <w:noProof/>
                <w:webHidden/>
              </w:rPr>
              <w:fldChar w:fldCharType="begin"/>
            </w:r>
            <w:r w:rsidR="008D5D4D">
              <w:rPr>
                <w:noProof/>
                <w:webHidden/>
              </w:rPr>
              <w:instrText xml:space="preserve"> PAGEREF _Toc485991978 \h </w:instrText>
            </w:r>
            <w:r w:rsidR="008D5D4D">
              <w:rPr>
                <w:noProof/>
                <w:webHidden/>
              </w:rPr>
            </w:r>
            <w:r w:rsidR="008D5D4D">
              <w:rPr>
                <w:noProof/>
                <w:webHidden/>
              </w:rPr>
              <w:fldChar w:fldCharType="separate"/>
            </w:r>
            <w:r w:rsidR="008D5D4D">
              <w:rPr>
                <w:noProof/>
                <w:webHidden/>
              </w:rPr>
              <w:t>6</w:t>
            </w:r>
            <w:r w:rsidR="008D5D4D">
              <w:rPr>
                <w:noProof/>
                <w:webHidden/>
              </w:rPr>
              <w:fldChar w:fldCharType="end"/>
            </w:r>
          </w:hyperlink>
        </w:p>
        <w:p w14:paraId="4649B14A"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79" w:history="1">
            <w:r w:rsidR="008D5D4D" w:rsidRPr="00FF084B">
              <w:rPr>
                <w:rStyle w:val="Hyperlink"/>
                <w:noProof/>
              </w:rPr>
              <w:t>3.4.1</w:t>
            </w:r>
            <w:r w:rsidR="008D5D4D">
              <w:rPr>
                <w:rFonts w:eastAsiaTheme="minorEastAsia" w:cstheme="minorBidi"/>
                <w:i w:val="0"/>
                <w:iCs w:val="0"/>
                <w:noProof/>
                <w:sz w:val="22"/>
                <w:szCs w:val="22"/>
                <w:lang w:eastAsia="en-GB" w:bidi="ar-SA"/>
              </w:rPr>
              <w:tab/>
            </w:r>
            <w:r w:rsidR="008D5D4D" w:rsidRPr="00FF084B">
              <w:rPr>
                <w:rStyle w:val="Hyperlink"/>
                <w:noProof/>
              </w:rPr>
              <w:t>Genotoxicity</w:t>
            </w:r>
            <w:r w:rsidR="008D5D4D">
              <w:rPr>
                <w:noProof/>
                <w:webHidden/>
              </w:rPr>
              <w:tab/>
            </w:r>
            <w:r w:rsidR="008D5D4D">
              <w:rPr>
                <w:noProof/>
                <w:webHidden/>
              </w:rPr>
              <w:fldChar w:fldCharType="begin"/>
            </w:r>
            <w:r w:rsidR="008D5D4D">
              <w:rPr>
                <w:noProof/>
                <w:webHidden/>
              </w:rPr>
              <w:instrText xml:space="preserve"> PAGEREF _Toc485991979 \h </w:instrText>
            </w:r>
            <w:r w:rsidR="008D5D4D">
              <w:rPr>
                <w:noProof/>
                <w:webHidden/>
              </w:rPr>
            </w:r>
            <w:r w:rsidR="008D5D4D">
              <w:rPr>
                <w:noProof/>
                <w:webHidden/>
              </w:rPr>
              <w:fldChar w:fldCharType="separate"/>
            </w:r>
            <w:r w:rsidR="008D5D4D">
              <w:rPr>
                <w:noProof/>
                <w:webHidden/>
              </w:rPr>
              <w:t>6</w:t>
            </w:r>
            <w:r w:rsidR="008D5D4D">
              <w:rPr>
                <w:noProof/>
                <w:webHidden/>
              </w:rPr>
              <w:fldChar w:fldCharType="end"/>
            </w:r>
          </w:hyperlink>
        </w:p>
        <w:p w14:paraId="14234751"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80" w:history="1">
            <w:r w:rsidR="008D5D4D" w:rsidRPr="00FF084B">
              <w:rPr>
                <w:rStyle w:val="Hyperlink"/>
                <w:noProof/>
              </w:rPr>
              <w:t>3.4.2</w:t>
            </w:r>
            <w:r w:rsidR="008D5D4D">
              <w:rPr>
                <w:rFonts w:eastAsiaTheme="minorEastAsia" w:cstheme="minorBidi"/>
                <w:i w:val="0"/>
                <w:iCs w:val="0"/>
                <w:noProof/>
                <w:sz w:val="22"/>
                <w:szCs w:val="22"/>
                <w:lang w:eastAsia="en-GB" w:bidi="ar-SA"/>
              </w:rPr>
              <w:tab/>
            </w:r>
            <w:r w:rsidR="008D5D4D" w:rsidRPr="00FF084B">
              <w:rPr>
                <w:rStyle w:val="Hyperlink"/>
                <w:noProof/>
              </w:rPr>
              <w:t>Animal studies</w:t>
            </w:r>
            <w:r w:rsidR="008D5D4D">
              <w:rPr>
                <w:noProof/>
                <w:webHidden/>
              </w:rPr>
              <w:tab/>
            </w:r>
            <w:r w:rsidR="008D5D4D">
              <w:rPr>
                <w:noProof/>
                <w:webHidden/>
              </w:rPr>
              <w:fldChar w:fldCharType="begin"/>
            </w:r>
            <w:r w:rsidR="008D5D4D">
              <w:rPr>
                <w:noProof/>
                <w:webHidden/>
              </w:rPr>
              <w:instrText xml:space="preserve"> PAGEREF _Toc485991980 \h </w:instrText>
            </w:r>
            <w:r w:rsidR="008D5D4D">
              <w:rPr>
                <w:noProof/>
                <w:webHidden/>
              </w:rPr>
            </w:r>
            <w:r w:rsidR="008D5D4D">
              <w:rPr>
                <w:noProof/>
                <w:webHidden/>
              </w:rPr>
              <w:fldChar w:fldCharType="separate"/>
            </w:r>
            <w:r w:rsidR="008D5D4D">
              <w:rPr>
                <w:noProof/>
                <w:webHidden/>
              </w:rPr>
              <w:t>7</w:t>
            </w:r>
            <w:r w:rsidR="008D5D4D">
              <w:rPr>
                <w:noProof/>
                <w:webHidden/>
              </w:rPr>
              <w:fldChar w:fldCharType="end"/>
            </w:r>
          </w:hyperlink>
        </w:p>
        <w:p w14:paraId="2873A354" w14:textId="77777777" w:rsidR="008D5D4D" w:rsidRDefault="00285377">
          <w:pPr>
            <w:pStyle w:val="TOC3"/>
            <w:tabs>
              <w:tab w:val="left" w:pos="1100"/>
              <w:tab w:val="right" w:leader="dot" w:pos="9060"/>
            </w:tabs>
            <w:rPr>
              <w:rFonts w:eastAsiaTheme="minorEastAsia" w:cstheme="minorBidi"/>
              <w:i w:val="0"/>
              <w:iCs w:val="0"/>
              <w:noProof/>
              <w:sz w:val="22"/>
              <w:szCs w:val="22"/>
              <w:lang w:eastAsia="en-GB" w:bidi="ar-SA"/>
            </w:rPr>
          </w:pPr>
          <w:hyperlink w:anchor="_Toc485991981" w:history="1">
            <w:r w:rsidR="008D5D4D" w:rsidRPr="00FF084B">
              <w:rPr>
                <w:rStyle w:val="Hyperlink"/>
                <w:noProof/>
              </w:rPr>
              <w:t>3.4.3</w:t>
            </w:r>
            <w:r w:rsidR="008D5D4D">
              <w:rPr>
                <w:rFonts w:eastAsiaTheme="minorEastAsia" w:cstheme="minorBidi"/>
                <w:i w:val="0"/>
                <w:iCs w:val="0"/>
                <w:noProof/>
                <w:sz w:val="22"/>
                <w:szCs w:val="22"/>
                <w:lang w:eastAsia="en-GB" w:bidi="ar-SA"/>
              </w:rPr>
              <w:tab/>
            </w:r>
            <w:r w:rsidR="008D5D4D" w:rsidRPr="00FF084B">
              <w:rPr>
                <w:rStyle w:val="Hyperlink"/>
                <w:noProof/>
              </w:rPr>
              <w:t>Bioinformatic analysis for potential allergenicity</w:t>
            </w:r>
            <w:r w:rsidR="008D5D4D">
              <w:rPr>
                <w:noProof/>
                <w:webHidden/>
              </w:rPr>
              <w:tab/>
            </w:r>
            <w:r w:rsidR="008D5D4D">
              <w:rPr>
                <w:noProof/>
                <w:webHidden/>
              </w:rPr>
              <w:fldChar w:fldCharType="begin"/>
            </w:r>
            <w:r w:rsidR="008D5D4D">
              <w:rPr>
                <w:noProof/>
                <w:webHidden/>
              </w:rPr>
              <w:instrText xml:space="preserve"> PAGEREF _Toc485991981 \h </w:instrText>
            </w:r>
            <w:r w:rsidR="008D5D4D">
              <w:rPr>
                <w:noProof/>
                <w:webHidden/>
              </w:rPr>
            </w:r>
            <w:r w:rsidR="008D5D4D">
              <w:rPr>
                <w:noProof/>
                <w:webHidden/>
              </w:rPr>
              <w:fldChar w:fldCharType="separate"/>
            </w:r>
            <w:r w:rsidR="008D5D4D">
              <w:rPr>
                <w:noProof/>
                <w:webHidden/>
              </w:rPr>
              <w:t>8</w:t>
            </w:r>
            <w:r w:rsidR="008D5D4D">
              <w:rPr>
                <w:noProof/>
                <w:webHidden/>
              </w:rPr>
              <w:fldChar w:fldCharType="end"/>
            </w:r>
          </w:hyperlink>
        </w:p>
        <w:p w14:paraId="774D8A21" w14:textId="77777777" w:rsidR="008D5D4D" w:rsidRDefault="00285377">
          <w:pPr>
            <w:pStyle w:val="TOC2"/>
            <w:tabs>
              <w:tab w:val="left" w:pos="880"/>
              <w:tab w:val="right" w:leader="dot" w:pos="9060"/>
            </w:tabs>
            <w:rPr>
              <w:rFonts w:eastAsiaTheme="minorEastAsia" w:cstheme="minorBidi"/>
              <w:smallCaps w:val="0"/>
              <w:noProof/>
              <w:sz w:val="22"/>
              <w:szCs w:val="22"/>
              <w:lang w:eastAsia="en-GB" w:bidi="ar-SA"/>
            </w:rPr>
          </w:pPr>
          <w:hyperlink w:anchor="_Toc485991982" w:history="1">
            <w:r w:rsidR="008D5D4D" w:rsidRPr="00FF084B">
              <w:rPr>
                <w:rStyle w:val="Hyperlink"/>
                <w:noProof/>
              </w:rPr>
              <w:t>3.5</w:t>
            </w:r>
            <w:r w:rsidR="008D5D4D">
              <w:rPr>
                <w:rFonts w:eastAsiaTheme="minorEastAsia" w:cstheme="minorBidi"/>
                <w:smallCaps w:val="0"/>
                <w:noProof/>
                <w:sz w:val="22"/>
                <w:szCs w:val="22"/>
                <w:lang w:eastAsia="en-GB" w:bidi="ar-SA"/>
              </w:rPr>
              <w:tab/>
            </w:r>
            <w:r w:rsidR="008D5D4D" w:rsidRPr="00FF084B">
              <w:rPr>
                <w:rStyle w:val="Hyperlink"/>
                <w:noProof/>
              </w:rPr>
              <w:t>Risk assessment discussion and conclusions</w:t>
            </w:r>
            <w:r w:rsidR="008D5D4D">
              <w:rPr>
                <w:noProof/>
                <w:webHidden/>
              </w:rPr>
              <w:tab/>
            </w:r>
            <w:r w:rsidR="008D5D4D">
              <w:rPr>
                <w:noProof/>
                <w:webHidden/>
              </w:rPr>
              <w:fldChar w:fldCharType="begin"/>
            </w:r>
            <w:r w:rsidR="008D5D4D">
              <w:rPr>
                <w:noProof/>
                <w:webHidden/>
              </w:rPr>
              <w:instrText xml:space="preserve"> PAGEREF _Toc485991982 \h </w:instrText>
            </w:r>
            <w:r w:rsidR="008D5D4D">
              <w:rPr>
                <w:noProof/>
                <w:webHidden/>
              </w:rPr>
            </w:r>
            <w:r w:rsidR="008D5D4D">
              <w:rPr>
                <w:noProof/>
                <w:webHidden/>
              </w:rPr>
              <w:fldChar w:fldCharType="separate"/>
            </w:r>
            <w:r w:rsidR="008D5D4D">
              <w:rPr>
                <w:noProof/>
                <w:webHidden/>
              </w:rPr>
              <w:t>9</w:t>
            </w:r>
            <w:r w:rsidR="008D5D4D">
              <w:rPr>
                <w:noProof/>
                <w:webHidden/>
              </w:rPr>
              <w:fldChar w:fldCharType="end"/>
            </w:r>
          </w:hyperlink>
        </w:p>
        <w:p w14:paraId="74B9122A" w14:textId="77777777" w:rsidR="008D5D4D" w:rsidRDefault="0028537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5991983" w:history="1">
            <w:r w:rsidR="008D5D4D" w:rsidRPr="00FF084B">
              <w:rPr>
                <w:rStyle w:val="Hyperlink"/>
                <w:noProof/>
              </w:rPr>
              <w:t>4</w:t>
            </w:r>
            <w:r w:rsidR="008D5D4D">
              <w:rPr>
                <w:rFonts w:eastAsiaTheme="minorEastAsia" w:cstheme="minorBidi"/>
                <w:b w:val="0"/>
                <w:bCs w:val="0"/>
                <w:caps w:val="0"/>
                <w:noProof/>
                <w:sz w:val="22"/>
                <w:szCs w:val="22"/>
                <w:lang w:eastAsia="en-GB" w:bidi="ar-SA"/>
              </w:rPr>
              <w:tab/>
            </w:r>
            <w:r w:rsidR="008D5D4D" w:rsidRPr="00FF084B">
              <w:rPr>
                <w:rStyle w:val="Hyperlink"/>
                <w:noProof/>
              </w:rPr>
              <w:t>Conclusion</w:t>
            </w:r>
            <w:r w:rsidR="008D5D4D">
              <w:rPr>
                <w:noProof/>
                <w:webHidden/>
              </w:rPr>
              <w:tab/>
            </w:r>
            <w:r w:rsidR="008D5D4D">
              <w:rPr>
                <w:noProof/>
                <w:webHidden/>
              </w:rPr>
              <w:fldChar w:fldCharType="begin"/>
            </w:r>
            <w:r w:rsidR="008D5D4D">
              <w:rPr>
                <w:noProof/>
                <w:webHidden/>
              </w:rPr>
              <w:instrText xml:space="preserve"> PAGEREF _Toc485991983 \h </w:instrText>
            </w:r>
            <w:r w:rsidR="008D5D4D">
              <w:rPr>
                <w:noProof/>
                <w:webHidden/>
              </w:rPr>
            </w:r>
            <w:r w:rsidR="008D5D4D">
              <w:rPr>
                <w:noProof/>
                <w:webHidden/>
              </w:rPr>
              <w:fldChar w:fldCharType="separate"/>
            </w:r>
            <w:r w:rsidR="008D5D4D">
              <w:rPr>
                <w:noProof/>
                <w:webHidden/>
              </w:rPr>
              <w:t>9</w:t>
            </w:r>
            <w:r w:rsidR="008D5D4D">
              <w:rPr>
                <w:noProof/>
                <w:webHidden/>
              </w:rPr>
              <w:fldChar w:fldCharType="end"/>
            </w:r>
          </w:hyperlink>
        </w:p>
        <w:p w14:paraId="7AFAD0F6" w14:textId="77777777" w:rsidR="008D5D4D" w:rsidRDefault="00285377">
          <w:pPr>
            <w:pStyle w:val="TOC1"/>
            <w:tabs>
              <w:tab w:val="right" w:leader="dot" w:pos="9060"/>
            </w:tabs>
            <w:rPr>
              <w:rFonts w:eastAsiaTheme="minorEastAsia" w:cstheme="minorBidi"/>
              <w:b w:val="0"/>
              <w:bCs w:val="0"/>
              <w:caps w:val="0"/>
              <w:noProof/>
              <w:sz w:val="22"/>
              <w:szCs w:val="22"/>
              <w:lang w:eastAsia="en-GB" w:bidi="ar-SA"/>
            </w:rPr>
          </w:pPr>
          <w:hyperlink w:anchor="_Toc485991984" w:history="1">
            <w:r w:rsidR="008D5D4D" w:rsidRPr="00FF084B">
              <w:rPr>
                <w:rStyle w:val="Hyperlink"/>
                <w:rFonts w:eastAsia="Calibri"/>
                <w:noProof/>
              </w:rPr>
              <w:t>References</w:t>
            </w:r>
            <w:r w:rsidR="008D5D4D">
              <w:rPr>
                <w:noProof/>
                <w:webHidden/>
              </w:rPr>
              <w:tab/>
            </w:r>
            <w:r w:rsidR="008D5D4D">
              <w:rPr>
                <w:noProof/>
                <w:webHidden/>
              </w:rPr>
              <w:fldChar w:fldCharType="begin"/>
            </w:r>
            <w:r w:rsidR="008D5D4D">
              <w:rPr>
                <w:noProof/>
                <w:webHidden/>
              </w:rPr>
              <w:instrText xml:space="preserve"> PAGEREF _Toc485991984 \h </w:instrText>
            </w:r>
            <w:r w:rsidR="008D5D4D">
              <w:rPr>
                <w:noProof/>
                <w:webHidden/>
              </w:rPr>
            </w:r>
            <w:r w:rsidR="008D5D4D">
              <w:rPr>
                <w:noProof/>
                <w:webHidden/>
              </w:rPr>
              <w:fldChar w:fldCharType="separate"/>
            </w:r>
            <w:r w:rsidR="008D5D4D">
              <w:rPr>
                <w:noProof/>
                <w:webHidden/>
              </w:rPr>
              <w:t>10</w:t>
            </w:r>
            <w:r w:rsidR="008D5D4D">
              <w:rPr>
                <w:noProof/>
                <w:webHidden/>
              </w:rPr>
              <w:fldChar w:fldCharType="end"/>
            </w:r>
          </w:hyperlink>
        </w:p>
        <w:p w14:paraId="37B3E767" w14:textId="7FBC8BA5" w:rsidR="00005498" w:rsidRDefault="00005498" w:rsidP="00005498">
          <w:pPr>
            <w:rPr>
              <w:noProof/>
            </w:rPr>
          </w:pPr>
          <w:r w:rsidRPr="006014F1">
            <w:rPr>
              <w:b/>
              <w:bCs/>
              <w:noProof/>
            </w:rPr>
            <w:fldChar w:fldCharType="end"/>
          </w:r>
        </w:p>
      </w:sdtContent>
    </w:sdt>
    <w:p w14:paraId="43BC66BC" w14:textId="77777777" w:rsidR="00051ED9" w:rsidRDefault="00051ED9" w:rsidP="00772BDC"/>
    <w:p w14:paraId="454D326D" w14:textId="77777777" w:rsidR="007B2E24" w:rsidRDefault="007B2E24">
      <w:pPr>
        <w:widowControl/>
        <w:rPr>
          <w:rFonts w:eastAsia="Calibri"/>
          <w:b/>
          <w:bCs/>
          <w:sz w:val="36"/>
          <w:szCs w:val="28"/>
          <w:lang w:bidi="ar-SA"/>
        </w:rPr>
      </w:pPr>
      <w:r>
        <w:rPr>
          <w:rFonts w:eastAsia="Calibri"/>
        </w:rPr>
        <w:br w:type="page"/>
      </w:r>
    </w:p>
    <w:p w14:paraId="4A9615A0" w14:textId="2F3953B6" w:rsidR="0000781A" w:rsidRDefault="0000781A" w:rsidP="0000781A">
      <w:pPr>
        <w:pStyle w:val="Heading1"/>
      </w:pPr>
      <w:bookmarkStart w:id="3" w:name="_Toc485991961"/>
      <w:r>
        <w:rPr>
          <w:rFonts w:eastAsia="Calibri"/>
        </w:rPr>
        <w:lastRenderedPageBreak/>
        <w:t>1</w:t>
      </w:r>
      <w:r>
        <w:rPr>
          <w:rFonts w:eastAsia="Calibri"/>
        </w:rPr>
        <w:tab/>
      </w:r>
      <w:r w:rsidRPr="006014F1">
        <w:t>Introduction</w:t>
      </w:r>
      <w:bookmarkEnd w:id="3"/>
    </w:p>
    <w:p w14:paraId="7981CF83" w14:textId="53483CAF" w:rsidR="00A22669" w:rsidRDefault="00A22669" w:rsidP="000C7205">
      <w:pPr>
        <w:pStyle w:val="Heading2"/>
        <w:numPr>
          <w:ilvl w:val="1"/>
          <w:numId w:val="14"/>
        </w:numPr>
      </w:pPr>
      <w:bookmarkStart w:id="4" w:name="_Toc408468954"/>
      <w:bookmarkStart w:id="5" w:name="_Toc485991962"/>
      <w:r>
        <w:t>Objectives of the a</w:t>
      </w:r>
      <w:r w:rsidRPr="006014F1">
        <w:t>ssessment</w:t>
      </w:r>
      <w:bookmarkEnd w:id="4"/>
      <w:bookmarkEnd w:id="5"/>
    </w:p>
    <w:p w14:paraId="7B2EC5E9" w14:textId="4498D888" w:rsidR="00BF787C" w:rsidRDefault="00BF787C" w:rsidP="00BF787C">
      <w:pPr>
        <w:rPr>
          <w:lang w:bidi="ar-SA"/>
        </w:rPr>
      </w:pPr>
      <w:r>
        <w:rPr>
          <w:lang w:bidi="ar-SA"/>
        </w:rPr>
        <w:t xml:space="preserve">Currently, there are no permissions for the enzyme triacylglycerol lipase derived from </w:t>
      </w:r>
      <w:r w:rsidRPr="00BF787C">
        <w:rPr>
          <w:i/>
          <w:lang w:bidi="ar-SA"/>
        </w:rPr>
        <w:t xml:space="preserve">Candida </w:t>
      </w:r>
      <w:proofErr w:type="spellStart"/>
      <w:r w:rsidRPr="00BF787C">
        <w:rPr>
          <w:i/>
          <w:lang w:bidi="ar-SA"/>
        </w:rPr>
        <w:t>cylindracea</w:t>
      </w:r>
      <w:proofErr w:type="spellEnd"/>
      <w:r>
        <w:rPr>
          <w:lang w:bidi="ar-SA"/>
        </w:rPr>
        <w:t xml:space="preserve"> in</w:t>
      </w:r>
      <w:r w:rsidR="00286701">
        <w:rPr>
          <w:lang w:bidi="ar-SA"/>
        </w:rPr>
        <w:t xml:space="preserve"> the</w:t>
      </w:r>
      <w:r>
        <w:rPr>
          <w:lang w:bidi="ar-SA"/>
        </w:rPr>
        <w:t xml:space="preserve"> </w:t>
      </w:r>
      <w:r w:rsidR="00286701" w:rsidRPr="003462D7">
        <w:rPr>
          <w:i/>
          <w:lang w:bidi="ar-SA"/>
        </w:rPr>
        <w:t>Australia New Zealand Food Standards Code</w:t>
      </w:r>
      <w:r w:rsidR="00286701" w:rsidRPr="00286701">
        <w:rPr>
          <w:lang w:bidi="ar-SA"/>
        </w:rPr>
        <w:t xml:space="preserve"> (</w:t>
      </w:r>
      <w:r>
        <w:rPr>
          <w:lang w:bidi="ar-SA"/>
        </w:rPr>
        <w:t>the Code</w:t>
      </w:r>
      <w:r w:rsidR="00286701">
        <w:rPr>
          <w:lang w:bidi="ar-SA"/>
        </w:rPr>
        <w:t>)</w:t>
      </w:r>
      <w:r>
        <w:rPr>
          <w:lang w:bidi="ar-SA"/>
        </w:rPr>
        <w:t xml:space="preserve">. Therefore, any application to amend the Code to permit the use of this enzyme as a food processing aid requires a pre-market assessment. </w:t>
      </w:r>
    </w:p>
    <w:p w14:paraId="4C6B62AC" w14:textId="77777777" w:rsidR="00BF787C" w:rsidRDefault="00BF787C" w:rsidP="00BF787C">
      <w:pPr>
        <w:rPr>
          <w:lang w:bidi="ar-SA"/>
        </w:rPr>
      </w:pPr>
    </w:p>
    <w:p w14:paraId="4EB53108" w14:textId="7F5414D8" w:rsidR="00BF787C" w:rsidRDefault="00BF787C" w:rsidP="00BF787C">
      <w:pPr>
        <w:rPr>
          <w:lang w:bidi="ar-SA"/>
        </w:rPr>
      </w:pPr>
      <w:r>
        <w:rPr>
          <w:lang w:bidi="ar-SA"/>
        </w:rPr>
        <w:t xml:space="preserve">The objectives of this risk </w:t>
      </w:r>
      <w:r w:rsidR="00286701">
        <w:rPr>
          <w:lang w:bidi="ar-SA"/>
        </w:rPr>
        <w:t xml:space="preserve">and technical </w:t>
      </w:r>
      <w:r>
        <w:rPr>
          <w:lang w:bidi="ar-SA"/>
        </w:rPr>
        <w:t>assessment were to:</w:t>
      </w:r>
    </w:p>
    <w:p w14:paraId="1826E3DD" w14:textId="77777777" w:rsidR="00BF787C" w:rsidRDefault="00BF787C" w:rsidP="00BF787C">
      <w:pPr>
        <w:rPr>
          <w:lang w:bidi="ar-SA"/>
        </w:rPr>
      </w:pPr>
    </w:p>
    <w:p w14:paraId="2700549A" w14:textId="4626C643" w:rsidR="00BF787C" w:rsidRPr="00BF787C" w:rsidRDefault="00BF787C" w:rsidP="00BF787C">
      <w:pPr>
        <w:pStyle w:val="ListParagraph"/>
        <w:numPr>
          <w:ilvl w:val="0"/>
          <w:numId w:val="16"/>
        </w:numPr>
        <w:ind w:left="567" w:hanging="567"/>
        <w:rPr>
          <w:rStyle w:val="FSBulletChar"/>
          <w:lang w:bidi="ar-SA"/>
        </w:rPr>
      </w:pPr>
      <w:r w:rsidRPr="00BF787C">
        <w:rPr>
          <w:rStyle w:val="FSBulletChar"/>
          <w:lang w:bidi="ar-SA"/>
        </w:rPr>
        <w:t>determine whether the proposed purpose is clearly stated and that the enzyme achieves its technological function in the quantity and form proposed to be used as a food processing aid</w:t>
      </w:r>
    </w:p>
    <w:p w14:paraId="52BA5E14" w14:textId="77777777" w:rsidR="00BF787C" w:rsidRDefault="00BF787C" w:rsidP="00BF787C">
      <w:pPr>
        <w:rPr>
          <w:lang w:bidi="ar-SA"/>
        </w:rPr>
      </w:pPr>
    </w:p>
    <w:p w14:paraId="36AE2EDA" w14:textId="6979F2AF" w:rsidR="000C7205" w:rsidRPr="00BF787C" w:rsidRDefault="00BF787C" w:rsidP="00072989">
      <w:pPr>
        <w:pStyle w:val="ListParagraph"/>
        <w:numPr>
          <w:ilvl w:val="0"/>
          <w:numId w:val="16"/>
        </w:numPr>
        <w:ind w:left="567" w:hanging="567"/>
        <w:rPr>
          <w:rStyle w:val="FSBulletChar"/>
          <w:lang w:bidi="ar-SA"/>
        </w:rPr>
      </w:pPr>
      <w:proofErr w:type="gramStart"/>
      <w:r w:rsidRPr="00BF787C">
        <w:rPr>
          <w:rStyle w:val="FSBulletChar"/>
          <w:lang w:bidi="ar-SA"/>
        </w:rPr>
        <w:t>evaluate</w:t>
      </w:r>
      <w:proofErr w:type="gramEnd"/>
      <w:r w:rsidRPr="00BF787C">
        <w:rPr>
          <w:rStyle w:val="FSBulletChar"/>
          <w:lang w:bidi="ar-SA"/>
        </w:rPr>
        <w:t xml:space="preserve"> any potential public health and safety concerns that may arise from the use of the </w:t>
      </w:r>
      <w:r>
        <w:rPr>
          <w:rStyle w:val="FSBulletChar"/>
          <w:lang w:bidi="ar-SA"/>
        </w:rPr>
        <w:t>triacylglycerol lipase</w:t>
      </w:r>
      <w:r w:rsidRPr="00BF787C">
        <w:rPr>
          <w:rStyle w:val="FSBulletChar"/>
          <w:lang w:bidi="ar-SA"/>
        </w:rPr>
        <w:t xml:space="preserve"> enzyme as a processing aid.</w:t>
      </w:r>
    </w:p>
    <w:p w14:paraId="55793F3D" w14:textId="77777777" w:rsidR="000C7205" w:rsidRPr="00A22669" w:rsidRDefault="000C7205" w:rsidP="000C7205">
      <w:pPr>
        <w:pStyle w:val="Heading1"/>
        <w:keepNext w:val="0"/>
      </w:pPr>
      <w:bookmarkStart w:id="6" w:name="_Toc485991963"/>
      <w:r>
        <w:t>2</w:t>
      </w:r>
      <w:r>
        <w:tab/>
        <w:t>Food technology assessment</w:t>
      </w:r>
      <w:bookmarkEnd w:id="6"/>
      <w:r>
        <w:t xml:space="preserve"> </w:t>
      </w:r>
    </w:p>
    <w:p w14:paraId="277BE040" w14:textId="77777777" w:rsidR="000C7205" w:rsidRDefault="000C7205" w:rsidP="000C7205">
      <w:pPr>
        <w:pStyle w:val="Heading2"/>
        <w:keepNext w:val="0"/>
      </w:pPr>
      <w:bookmarkStart w:id="7" w:name="_Toc471220456"/>
      <w:bookmarkStart w:id="8" w:name="_Toc485991964"/>
      <w:r>
        <w:t>2.1</w:t>
      </w:r>
      <w:r>
        <w:tab/>
        <w:t>Characterisation of the enzyme</w:t>
      </w:r>
      <w:bookmarkEnd w:id="7"/>
      <w:bookmarkEnd w:id="8"/>
    </w:p>
    <w:p w14:paraId="5656CFF7" w14:textId="77777777" w:rsidR="000C7205" w:rsidRDefault="000C7205" w:rsidP="000C7205">
      <w:pPr>
        <w:pStyle w:val="Heading3"/>
        <w:keepNext w:val="0"/>
      </w:pPr>
      <w:bookmarkStart w:id="9" w:name="_Toc471220457"/>
      <w:bookmarkStart w:id="10" w:name="_Toc485991965"/>
      <w:r>
        <w:t>2.1.1</w:t>
      </w:r>
      <w:r>
        <w:tab/>
        <w:t>Identity of the enzyme</w:t>
      </w:r>
      <w:bookmarkEnd w:id="9"/>
      <w:bookmarkEnd w:id="10"/>
    </w:p>
    <w:p w14:paraId="5B7512F7" w14:textId="1BD86536" w:rsidR="000C7205" w:rsidRPr="006014F1" w:rsidRDefault="000C7205" w:rsidP="000C7205">
      <w:r w:rsidRPr="006014F1">
        <w:t xml:space="preserve">Information regarding the identity of the enzyme </w:t>
      </w:r>
      <w:r w:rsidR="00286701">
        <w:t>contained in</w:t>
      </w:r>
      <w:r w:rsidRPr="006014F1">
        <w:t xml:space="preserve"> the Application has been verified using an appropriate enzyme nomenclature reference (IUBMB 201</w:t>
      </w:r>
      <w:r>
        <w:t>6</w:t>
      </w:r>
      <w:r w:rsidRPr="006014F1">
        <w:t>). Additional information has also been included from this reference.</w:t>
      </w:r>
    </w:p>
    <w:p w14:paraId="35657E93" w14:textId="77777777" w:rsidR="000C7205" w:rsidRPr="00985871" w:rsidRDefault="000C7205" w:rsidP="000C7205"/>
    <w:p w14:paraId="11B59603" w14:textId="77777777" w:rsidR="000C7205" w:rsidRDefault="000C7205" w:rsidP="000C7205">
      <w:r>
        <w:t>Generic common name:</w:t>
      </w:r>
      <w:r>
        <w:tab/>
      </w:r>
      <w:r>
        <w:tab/>
        <w:t>Triacylglycerol lipase</w:t>
      </w:r>
    </w:p>
    <w:p w14:paraId="7E48A4F0" w14:textId="77777777" w:rsidR="000C7205" w:rsidRDefault="000C7205" w:rsidP="000C7205"/>
    <w:p w14:paraId="43EC7FB3" w14:textId="77777777" w:rsidR="000C7205" w:rsidRDefault="000C7205" w:rsidP="000C7205">
      <w:r>
        <w:t>Accepted</w:t>
      </w:r>
      <w:r w:rsidRPr="006014F1">
        <w:t xml:space="preserve"> IUBMB</w:t>
      </w:r>
      <w:r w:rsidRPr="006014F1">
        <w:rPr>
          <w:rStyle w:val="FootnoteReference"/>
        </w:rPr>
        <w:footnoteReference w:id="2"/>
      </w:r>
      <w:r w:rsidRPr="006014F1">
        <w:t xml:space="preserve"> name:</w:t>
      </w:r>
      <w:r>
        <w:tab/>
      </w:r>
      <w:r>
        <w:tab/>
        <w:t>Triacylglycerol lipase</w:t>
      </w:r>
    </w:p>
    <w:p w14:paraId="62EBE13F" w14:textId="77777777" w:rsidR="000C7205" w:rsidRPr="006014F1" w:rsidRDefault="000C7205" w:rsidP="000C7205"/>
    <w:p w14:paraId="0E2D2B52" w14:textId="77777777" w:rsidR="000C7205" w:rsidRPr="006014F1" w:rsidRDefault="000C7205" w:rsidP="000C7205">
      <w:r w:rsidRPr="006014F1">
        <w:t xml:space="preserve">Systematic name: </w:t>
      </w:r>
      <w:r w:rsidRPr="006014F1">
        <w:tab/>
      </w:r>
      <w:r w:rsidRPr="006014F1">
        <w:tab/>
      </w:r>
      <w:r w:rsidRPr="006014F1">
        <w:tab/>
      </w:r>
      <w:r>
        <w:t xml:space="preserve">Triacylglycerol </w:t>
      </w:r>
      <w:proofErr w:type="spellStart"/>
      <w:r>
        <w:t>acylhydrolase</w:t>
      </w:r>
      <w:proofErr w:type="spellEnd"/>
    </w:p>
    <w:p w14:paraId="75E39ECF" w14:textId="77777777" w:rsidR="000C7205" w:rsidRPr="006014F1" w:rsidRDefault="000C7205" w:rsidP="000C7205"/>
    <w:p w14:paraId="385069FB" w14:textId="77777777" w:rsidR="000C7205" w:rsidRPr="006014F1" w:rsidRDefault="000C7205" w:rsidP="000C7205">
      <w:r w:rsidRPr="006014F1">
        <w:t>IUBMB enzyme nomenclature:</w:t>
      </w:r>
      <w:r w:rsidRPr="006014F1">
        <w:tab/>
        <w:t>EC 3.</w:t>
      </w:r>
      <w:r>
        <w:t>1</w:t>
      </w:r>
      <w:r w:rsidRPr="006014F1">
        <w:t>.1.</w:t>
      </w:r>
      <w:r>
        <w:t>3</w:t>
      </w:r>
    </w:p>
    <w:p w14:paraId="7FFE828B" w14:textId="77777777" w:rsidR="000C7205" w:rsidRPr="006014F1" w:rsidRDefault="000C7205" w:rsidP="000C7205">
      <w:pPr>
        <w:tabs>
          <w:tab w:val="left" w:pos="6100"/>
        </w:tabs>
      </w:pPr>
      <w:r w:rsidRPr="006014F1">
        <w:tab/>
      </w:r>
    </w:p>
    <w:p w14:paraId="61E30FD2" w14:textId="77777777" w:rsidR="000C7205" w:rsidRPr="006014F1" w:rsidRDefault="000C7205" w:rsidP="000C7205">
      <w:r w:rsidRPr="006014F1">
        <w:t>C.A.S. number:</w:t>
      </w:r>
      <w:r w:rsidRPr="006014F1">
        <w:tab/>
      </w:r>
      <w:r w:rsidRPr="006014F1">
        <w:tab/>
      </w:r>
      <w:r w:rsidRPr="006014F1">
        <w:tab/>
      </w:r>
      <w:r w:rsidRPr="006014F1">
        <w:tab/>
      </w:r>
      <w:r w:rsidRPr="008B71BB">
        <w:t>90</w:t>
      </w:r>
      <w:r>
        <w:t>01</w:t>
      </w:r>
      <w:r w:rsidRPr="008B71BB">
        <w:t>-</w:t>
      </w:r>
      <w:r>
        <w:t>62</w:t>
      </w:r>
      <w:r w:rsidRPr="008B71BB">
        <w:t>-</w:t>
      </w:r>
      <w:r>
        <w:t>1</w:t>
      </w:r>
    </w:p>
    <w:p w14:paraId="5EE2D8C2" w14:textId="77777777" w:rsidR="000C7205" w:rsidRPr="006014F1" w:rsidRDefault="000C7205" w:rsidP="000C7205"/>
    <w:p w14:paraId="3FA272C7" w14:textId="77777777" w:rsidR="000C7205" w:rsidRDefault="000C7205" w:rsidP="000C72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pPr>
      <w:r w:rsidRPr="006014F1">
        <w:t>Other names:</w:t>
      </w:r>
      <w:r w:rsidRPr="006014F1">
        <w:tab/>
      </w:r>
      <w:r w:rsidRPr="006014F1">
        <w:tab/>
      </w:r>
      <w:r w:rsidRPr="006014F1">
        <w:tab/>
      </w:r>
      <w:r w:rsidRPr="006014F1">
        <w:tab/>
      </w:r>
      <w:r>
        <w:t>Lipase</w:t>
      </w:r>
      <w:r w:rsidRPr="008B71BB">
        <w:t xml:space="preserve">; </w:t>
      </w:r>
      <w:r>
        <w:tab/>
      </w:r>
      <w:r>
        <w:tab/>
      </w:r>
    </w:p>
    <w:p w14:paraId="561A1023" w14:textId="77777777" w:rsidR="000C7205" w:rsidRDefault="000C7205" w:rsidP="000C7205">
      <w:pPr>
        <w:ind w:left="2835" w:firstLine="567"/>
      </w:pPr>
      <w:r>
        <w:t>Triglyceride lipase</w:t>
      </w:r>
      <w:r w:rsidRPr="008B71BB">
        <w:t xml:space="preserve">; </w:t>
      </w:r>
    </w:p>
    <w:p w14:paraId="40E9F25F" w14:textId="77777777" w:rsidR="000C7205" w:rsidRDefault="000C7205" w:rsidP="000C7205">
      <w:pPr>
        <w:ind w:left="2835" w:firstLine="567"/>
      </w:pPr>
      <w:proofErr w:type="spellStart"/>
      <w:r>
        <w:t>Tributyrase</w:t>
      </w:r>
      <w:proofErr w:type="spellEnd"/>
      <w:r w:rsidRPr="008B71BB">
        <w:t xml:space="preserve">; </w:t>
      </w:r>
    </w:p>
    <w:p w14:paraId="6A03F050" w14:textId="77777777" w:rsidR="000C7205" w:rsidRDefault="000C7205" w:rsidP="000C7205">
      <w:pPr>
        <w:ind w:left="2835" w:firstLine="567"/>
      </w:pPr>
      <w:r>
        <w:t>Glycerol ester hydrolase</w:t>
      </w:r>
      <w:r w:rsidRPr="008B71BB">
        <w:t xml:space="preserve">; </w:t>
      </w:r>
    </w:p>
    <w:p w14:paraId="34272A0B" w14:textId="77777777" w:rsidR="000C7205" w:rsidRDefault="000C7205" w:rsidP="000C7205">
      <w:pPr>
        <w:ind w:left="2835" w:firstLine="567"/>
      </w:pPr>
      <w:r>
        <w:t>Triglyceride hydrolase</w:t>
      </w:r>
      <w:r w:rsidRPr="008B71BB">
        <w:t xml:space="preserve">; </w:t>
      </w:r>
    </w:p>
    <w:p w14:paraId="5D84C0EF" w14:textId="77777777" w:rsidR="000C7205" w:rsidRDefault="000C7205" w:rsidP="000C7205">
      <w:pPr>
        <w:ind w:left="2835" w:firstLine="567"/>
      </w:pPr>
      <w:r>
        <w:t>Triglyceride lipase</w:t>
      </w:r>
      <w:r w:rsidRPr="008B71BB">
        <w:t xml:space="preserve">; </w:t>
      </w:r>
    </w:p>
    <w:p w14:paraId="48EA81F7" w14:textId="77777777" w:rsidR="000C7205" w:rsidRPr="006014F1" w:rsidRDefault="000C7205" w:rsidP="000C7205"/>
    <w:p w14:paraId="6788C535" w14:textId="77777777" w:rsidR="000C7205" w:rsidRDefault="000C7205" w:rsidP="000C7205">
      <w:pPr>
        <w:ind w:left="3402" w:hanging="3402"/>
      </w:pPr>
      <w:r w:rsidRPr="006014F1">
        <w:t>Reaction:</w:t>
      </w:r>
      <w:r w:rsidRPr="006014F1">
        <w:tab/>
      </w:r>
      <w:r w:rsidRPr="006014F1">
        <w:tab/>
      </w:r>
      <w:r>
        <w:t>triacylglycerol + H</w:t>
      </w:r>
      <w:r w:rsidRPr="00143BED">
        <w:rPr>
          <w:vertAlign w:val="subscript"/>
        </w:rPr>
        <w:t>2</w:t>
      </w:r>
      <w:r>
        <w:t>O = diacylglycerol + a carboxylate</w:t>
      </w:r>
    </w:p>
    <w:p w14:paraId="0502725A" w14:textId="77777777" w:rsidR="000C7205" w:rsidRDefault="000C7205" w:rsidP="000C7205">
      <w:pPr>
        <w:ind w:left="3402" w:hanging="3402"/>
      </w:pPr>
    </w:p>
    <w:p w14:paraId="49E98FFB" w14:textId="77777777" w:rsidR="000C7205" w:rsidRDefault="000C7205" w:rsidP="000C7205">
      <w:pPr>
        <w:ind w:left="3402" w:hanging="3402"/>
      </w:pPr>
      <w:r>
        <w:rPr>
          <w:noProof/>
          <w:lang w:eastAsia="en-GB" w:bidi="ar-SA"/>
        </w:rPr>
        <w:lastRenderedPageBreak/>
        <w:drawing>
          <wp:inline distT="0" distB="0" distL="0" distR="0" wp14:anchorId="6758042B" wp14:editId="53F2E91F">
            <wp:extent cx="5676900" cy="2581275"/>
            <wp:effectExtent l="0" t="0" r="0" b="9525"/>
            <wp:docPr id="2" name="Picture 2" descr="The chemical reaction catalysed by the enzyme shown in chemical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76900" cy="2581275"/>
                    </a:xfrm>
                    <a:prstGeom prst="rect">
                      <a:avLst/>
                    </a:prstGeom>
                  </pic:spPr>
                </pic:pic>
              </a:graphicData>
            </a:graphic>
          </wp:inline>
        </w:drawing>
      </w:r>
    </w:p>
    <w:p w14:paraId="6B20766F" w14:textId="2CCB379D" w:rsidR="000C7205" w:rsidRDefault="000C7205" w:rsidP="000C7205">
      <w:r>
        <w:t xml:space="preserve">The enzyme is sourced from a chemically mutated production strain of </w:t>
      </w:r>
      <w:r w:rsidRPr="00F91929">
        <w:rPr>
          <w:i/>
        </w:rPr>
        <w:t>C</w:t>
      </w:r>
      <w:r w:rsidR="0085438C">
        <w:rPr>
          <w:i/>
        </w:rPr>
        <w:t>.</w:t>
      </w:r>
      <w:r w:rsidRPr="00F91929">
        <w:rPr>
          <w:i/>
        </w:rPr>
        <w:t xml:space="preserve"> </w:t>
      </w:r>
      <w:proofErr w:type="spellStart"/>
      <w:r w:rsidRPr="00F91929">
        <w:rPr>
          <w:i/>
        </w:rPr>
        <w:t>cylindracea</w:t>
      </w:r>
      <w:proofErr w:type="spellEnd"/>
      <w:r>
        <w:t>, which has not been genetically modified.</w:t>
      </w:r>
    </w:p>
    <w:p w14:paraId="576C7476" w14:textId="77777777" w:rsidR="000C7205" w:rsidRDefault="000C7205" w:rsidP="000C7205">
      <w:pPr>
        <w:pStyle w:val="Heading3"/>
      </w:pPr>
      <w:bookmarkStart w:id="11" w:name="_Toc471220458"/>
      <w:bookmarkStart w:id="12" w:name="_Toc485991966"/>
      <w:r>
        <w:t>2.1.2</w:t>
      </w:r>
      <w:r>
        <w:tab/>
        <w:t>Technological purpose</w:t>
      </w:r>
      <w:bookmarkEnd w:id="11"/>
      <w:bookmarkEnd w:id="12"/>
    </w:p>
    <w:p w14:paraId="76BCC189" w14:textId="6F73A1E0" w:rsidR="000C7205" w:rsidRDefault="000C7205" w:rsidP="000C7205">
      <w:pPr>
        <w:rPr>
          <w:lang w:eastAsia="en-AU" w:bidi="ar-SA"/>
        </w:rPr>
      </w:pPr>
      <w:r>
        <w:rPr>
          <w:lang w:eastAsia="en-AU" w:bidi="ar-SA"/>
        </w:rPr>
        <w:t xml:space="preserve">Triacylglycerol lipase is used in </w:t>
      </w:r>
      <w:r w:rsidR="008D5D4D">
        <w:rPr>
          <w:lang w:eastAsia="en-AU" w:bidi="ar-SA"/>
        </w:rPr>
        <w:t xml:space="preserve">the manufacture </w:t>
      </w:r>
      <w:r w:rsidR="008D5D4D" w:rsidRPr="008D5D4D">
        <w:rPr>
          <w:lang w:eastAsia="en-AU" w:bidi="ar-SA"/>
        </w:rPr>
        <w:t>of bakery products and dairy products and in the processing of fats and oils</w:t>
      </w:r>
      <w:r>
        <w:rPr>
          <w:lang w:eastAsia="en-AU" w:bidi="ar-SA"/>
        </w:rPr>
        <w:t xml:space="preserve">. As noted above triacylglycerol lipase catalyses the conversion of triglycerides (also called </w:t>
      </w:r>
      <w:proofErr w:type="spellStart"/>
      <w:r>
        <w:rPr>
          <w:lang w:eastAsia="en-AU" w:bidi="ar-SA"/>
        </w:rPr>
        <w:t>triacylglycerols</w:t>
      </w:r>
      <w:proofErr w:type="spellEnd"/>
      <w:r>
        <w:rPr>
          <w:lang w:eastAsia="en-AU" w:bidi="ar-SA"/>
        </w:rPr>
        <w:t xml:space="preserve"> and lipids, in fats and oils) to diglycerides (and mono glycerides) by the selective removal of fatty acids (carboxylates). The lipase catalyses the hydrolysis of short and medium chain fatty acids in preference to long chain fatty acids, selectively from the 1 and 3 positions of the triglyceride. </w:t>
      </w:r>
    </w:p>
    <w:p w14:paraId="42598979" w14:textId="77777777" w:rsidR="000C7205" w:rsidRDefault="000C7205" w:rsidP="000C7205">
      <w:pPr>
        <w:rPr>
          <w:lang w:eastAsia="en-AU" w:bidi="ar-SA"/>
        </w:rPr>
      </w:pPr>
    </w:p>
    <w:p w14:paraId="7FFBC596" w14:textId="059ACB01" w:rsidR="000C7205" w:rsidRDefault="000C7205" w:rsidP="000C7205">
      <w:pPr>
        <w:rPr>
          <w:lang w:eastAsia="en-AU" w:bidi="ar-SA"/>
        </w:rPr>
      </w:pPr>
      <w:r>
        <w:rPr>
          <w:lang w:eastAsia="en-AU" w:bidi="ar-SA"/>
        </w:rPr>
        <w:t>Triacylglycerol lipase is used to convert fats and oils in various primary food materials to produce different fatty acids</w:t>
      </w:r>
      <w:r w:rsidR="00F71F06">
        <w:rPr>
          <w:lang w:eastAsia="en-AU" w:bidi="ar-SA"/>
        </w:rPr>
        <w:t>,</w:t>
      </w:r>
      <w:r>
        <w:rPr>
          <w:lang w:eastAsia="en-AU" w:bidi="ar-SA"/>
        </w:rPr>
        <w:t xml:space="preserve"> which pro</w:t>
      </w:r>
      <w:r w:rsidR="00985871">
        <w:rPr>
          <w:lang w:eastAsia="en-AU" w:bidi="ar-SA"/>
        </w:rPr>
        <w:t xml:space="preserve">vide </w:t>
      </w:r>
      <w:r w:rsidR="001C0E96">
        <w:rPr>
          <w:lang w:eastAsia="en-AU" w:bidi="ar-SA"/>
        </w:rPr>
        <w:t>enhance</w:t>
      </w:r>
      <w:r>
        <w:rPr>
          <w:lang w:eastAsia="en-AU" w:bidi="ar-SA"/>
        </w:rPr>
        <w:t xml:space="preserve">d flavour properties. </w:t>
      </w:r>
      <w:r w:rsidR="00985871">
        <w:rPr>
          <w:lang w:eastAsia="en-AU" w:bidi="ar-SA"/>
        </w:rPr>
        <w:t>T</w:t>
      </w:r>
      <w:r>
        <w:rPr>
          <w:lang w:eastAsia="en-AU" w:bidi="ar-SA"/>
        </w:rPr>
        <w:t xml:space="preserve">he enzyme </w:t>
      </w:r>
      <w:r w:rsidR="00985871">
        <w:rPr>
          <w:lang w:eastAsia="en-AU" w:bidi="ar-SA"/>
        </w:rPr>
        <w:t>can</w:t>
      </w:r>
      <w:r>
        <w:rPr>
          <w:lang w:eastAsia="en-AU" w:bidi="ar-SA"/>
        </w:rPr>
        <w:t xml:space="preserve"> preferentially separate out various fatty acids to produce a variety of structured lipids</w:t>
      </w:r>
      <w:r w:rsidR="001C0E96">
        <w:rPr>
          <w:lang w:eastAsia="en-AU" w:bidi="ar-SA"/>
        </w:rPr>
        <w:t xml:space="preserve"> that provide </w:t>
      </w:r>
      <w:r w:rsidR="00F71F06">
        <w:rPr>
          <w:lang w:eastAsia="en-AU" w:bidi="ar-SA"/>
        </w:rPr>
        <w:t xml:space="preserve">an </w:t>
      </w:r>
      <w:r w:rsidR="001C0E96">
        <w:rPr>
          <w:lang w:eastAsia="en-AU" w:bidi="ar-SA"/>
        </w:rPr>
        <w:t>enhanced flavour profile</w:t>
      </w:r>
      <w:r>
        <w:rPr>
          <w:lang w:eastAsia="en-AU" w:bidi="ar-SA"/>
        </w:rPr>
        <w:t>.</w:t>
      </w:r>
    </w:p>
    <w:p w14:paraId="78D81B80" w14:textId="77777777" w:rsidR="000C7205" w:rsidRDefault="000C7205" w:rsidP="000C7205">
      <w:pPr>
        <w:rPr>
          <w:lang w:eastAsia="en-AU" w:bidi="ar-SA"/>
        </w:rPr>
      </w:pPr>
    </w:p>
    <w:p w14:paraId="15A4020D" w14:textId="79458F7C" w:rsidR="000C7205" w:rsidRDefault="00EC40E9" w:rsidP="000C7205">
      <w:pPr>
        <w:rPr>
          <w:lang w:eastAsia="en-AU" w:bidi="ar-SA"/>
        </w:rPr>
      </w:pPr>
      <w:r>
        <w:rPr>
          <w:lang w:eastAsia="en-AU" w:bidi="ar-SA"/>
        </w:rPr>
        <w:t>A c</w:t>
      </w:r>
      <w:r w:rsidR="000C7205">
        <w:rPr>
          <w:lang w:eastAsia="en-AU" w:bidi="ar-SA"/>
        </w:rPr>
        <w:t xml:space="preserve">ommon application of lipases (including triacylglycerol lipase) in the dairy industry is to hydrolyse milk fat. The production of short chain fatty acids (such as C4 and C6 fatty acids) which have sharp tangy flavours are used to </w:t>
      </w:r>
      <w:r w:rsidR="00F71F06">
        <w:rPr>
          <w:lang w:eastAsia="en-AU" w:bidi="ar-SA"/>
        </w:rPr>
        <w:t xml:space="preserve">enhance the </w:t>
      </w:r>
      <w:r w:rsidR="000C7205">
        <w:rPr>
          <w:lang w:eastAsia="en-AU" w:bidi="ar-SA"/>
        </w:rPr>
        <w:t>flavour of cheese, accelerate cheese ripening, the manufacturing of cheese-like products and the lipolysis of butterfat (Ferreira-Dias et al 2013).</w:t>
      </w:r>
    </w:p>
    <w:p w14:paraId="4FEF6CA3" w14:textId="77777777" w:rsidR="000C7205" w:rsidRDefault="000C7205" w:rsidP="000C7205">
      <w:pPr>
        <w:rPr>
          <w:lang w:eastAsia="en-AU" w:bidi="ar-SA"/>
        </w:rPr>
      </w:pPr>
    </w:p>
    <w:p w14:paraId="2F2780BC" w14:textId="7C9E7045" w:rsidR="000C7205" w:rsidRDefault="00F71F06" w:rsidP="000C7205">
      <w:pPr>
        <w:rPr>
          <w:lang w:eastAsia="en-AU" w:bidi="ar-SA"/>
        </w:rPr>
      </w:pPr>
      <w:r>
        <w:rPr>
          <w:lang w:eastAsia="en-AU" w:bidi="ar-SA"/>
        </w:rPr>
        <w:t>Lipases</w:t>
      </w:r>
      <w:r w:rsidR="000C7205">
        <w:rPr>
          <w:lang w:eastAsia="en-AU" w:bidi="ar-SA"/>
        </w:rPr>
        <w:t xml:space="preserve"> are also used to extend the freshness of baked products (</w:t>
      </w:r>
      <w:proofErr w:type="spellStart"/>
      <w:r w:rsidR="000C7205">
        <w:rPr>
          <w:lang w:eastAsia="en-AU" w:bidi="ar-SA"/>
        </w:rPr>
        <w:t>B</w:t>
      </w:r>
      <w:r w:rsidR="000C7205">
        <w:rPr>
          <w:rFonts w:cs="Arial"/>
          <w:lang w:eastAsia="en-AU" w:bidi="ar-SA"/>
        </w:rPr>
        <w:t>á</w:t>
      </w:r>
      <w:r w:rsidR="000C7205">
        <w:rPr>
          <w:lang w:eastAsia="en-AU" w:bidi="ar-SA"/>
        </w:rPr>
        <w:t>rcenas</w:t>
      </w:r>
      <w:proofErr w:type="spellEnd"/>
      <w:r w:rsidR="000C7205">
        <w:rPr>
          <w:lang w:eastAsia="en-AU" w:bidi="ar-SA"/>
        </w:rPr>
        <w:t xml:space="preserve"> et al 2003). </w:t>
      </w:r>
    </w:p>
    <w:p w14:paraId="726A0D20" w14:textId="6005CEFE" w:rsidR="003830B3" w:rsidRDefault="003830B3" w:rsidP="000C7205">
      <w:pPr>
        <w:rPr>
          <w:lang w:eastAsia="en-AU" w:bidi="ar-SA"/>
        </w:rPr>
      </w:pPr>
    </w:p>
    <w:p w14:paraId="2B6F1859" w14:textId="6545FA61" w:rsidR="003830B3" w:rsidRDefault="003830B3" w:rsidP="000C7205">
      <w:pPr>
        <w:rPr>
          <w:lang w:eastAsia="en-AU" w:bidi="ar-SA"/>
        </w:rPr>
      </w:pPr>
      <w:r>
        <w:rPr>
          <w:lang w:eastAsia="en-AU" w:bidi="ar-SA"/>
        </w:rPr>
        <w:t xml:space="preserve">The enzyme is inactivated by heating that occurs during the various production </w:t>
      </w:r>
      <w:r w:rsidR="00F71F06">
        <w:rPr>
          <w:lang w:eastAsia="en-AU" w:bidi="ar-SA"/>
        </w:rPr>
        <w:t xml:space="preserve">steps </w:t>
      </w:r>
      <w:r>
        <w:rPr>
          <w:lang w:eastAsia="en-AU" w:bidi="ar-SA"/>
        </w:rPr>
        <w:t>so it has no technological purpose in the final food products.</w:t>
      </w:r>
    </w:p>
    <w:p w14:paraId="198265C5" w14:textId="77777777" w:rsidR="000C7205" w:rsidRDefault="000C7205" w:rsidP="000C7205">
      <w:pPr>
        <w:pStyle w:val="Heading2"/>
      </w:pPr>
      <w:bookmarkStart w:id="13" w:name="_Toc471220459"/>
      <w:bookmarkStart w:id="14" w:name="_Toc485991967"/>
      <w:r>
        <w:t>2.2</w:t>
      </w:r>
      <w:r>
        <w:tab/>
        <w:t>Manufacturing process</w:t>
      </w:r>
      <w:bookmarkEnd w:id="13"/>
      <w:bookmarkEnd w:id="14"/>
    </w:p>
    <w:p w14:paraId="3A86F642" w14:textId="77777777" w:rsidR="000C7205" w:rsidRDefault="000C7205" w:rsidP="000C7205">
      <w:pPr>
        <w:pStyle w:val="Heading3"/>
      </w:pPr>
      <w:bookmarkStart w:id="15" w:name="_Toc471220460"/>
      <w:bookmarkStart w:id="16" w:name="_Toc485991968"/>
      <w:r>
        <w:t>2.2.1</w:t>
      </w:r>
      <w:r>
        <w:tab/>
        <w:t>Production of the enzyme</w:t>
      </w:r>
      <w:bookmarkEnd w:id="15"/>
      <w:bookmarkEnd w:id="16"/>
    </w:p>
    <w:p w14:paraId="66A20496" w14:textId="48A34A0F" w:rsidR="000C7205" w:rsidRDefault="000C7205" w:rsidP="000C7205">
      <w:pPr>
        <w:rPr>
          <w:rFonts w:eastAsia="Calibri"/>
          <w:color w:val="000000" w:themeColor="text1"/>
          <w:szCs w:val="22"/>
          <w:lang w:bidi="ar-SA"/>
        </w:rPr>
      </w:pPr>
      <w:r>
        <w:rPr>
          <w:rFonts w:eastAsia="Calibri"/>
          <w:color w:val="000000" w:themeColor="text1"/>
          <w:szCs w:val="22"/>
          <w:lang w:bidi="ar-SA"/>
        </w:rPr>
        <w:t>The production of the triacylglycerol lipase enzyme preparation occurs by standard enzyme fermentation processes using the source microorganism</w:t>
      </w:r>
      <w:r w:rsidR="00F71F06">
        <w:rPr>
          <w:rFonts w:eastAsia="Calibri"/>
          <w:color w:val="000000" w:themeColor="text1"/>
          <w:szCs w:val="22"/>
          <w:lang w:bidi="ar-SA"/>
        </w:rPr>
        <w:t>,</w:t>
      </w:r>
      <w:r>
        <w:rPr>
          <w:rFonts w:eastAsia="Calibri"/>
          <w:color w:val="000000" w:themeColor="text1"/>
          <w:szCs w:val="22"/>
          <w:lang w:bidi="ar-SA"/>
        </w:rPr>
        <w:t xml:space="preserve"> </w:t>
      </w:r>
      <w:r w:rsidRPr="00554877">
        <w:rPr>
          <w:rFonts w:eastAsia="Calibri"/>
          <w:i/>
          <w:color w:val="000000" w:themeColor="text1"/>
          <w:szCs w:val="22"/>
          <w:lang w:bidi="ar-SA"/>
        </w:rPr>
        <w:t>C</w:t>
      </w:r>
      <w:r w:rsidR="0085438C">
        <w:rPr>
          <w:rFonts w:eastAsia="Calibri"/>
          <w:i/>
          <w:color w:val="000000" w:themeColor="text1"/>
          <w:szCs w:val="22"/>
          <w:lang w:bidi="ar-SA"/>
        </w:rPr>
        <w:t>.</w:t>
      </w:r>
      <w:r w:rsidRPr="00554877">
        <w:rPr>
          <w:rFonts w:eastAsia="Calibri"/>
          <w:i/>
          <w:color w:val="000000" w:themeColor="text1"/>
          <w:szCs w:val="22"/>
          <w:lang w:bidi="ar-SA"/>
        </w:rPr>
        <w:t xml:space="preserve"> </w:t>
      </w:r>
      <w:proofErr w:type="spellStart"/>
      <w:r w:rsidRPr="00554877">
        <w:rPr>
          <w:rFonts w:eastAsia="Calibri"/>
          <w:i/>
          <w:color w:val="000000" w:themeColor="text1"/>
          <w:szCs w:val="22"/>
          <w:lang w:bidi="ar-SA"/>
        </w:rPr>
        <w:t>cylindracea</w:t>
      </w:r>
      <w:proofErr w:type="spellEnd"/>
      <w:r>
        <w:rPr>
          <w:rFonts w:eastAsia="Calibri"/>
          <w:color w:val="000000" w:themeColor="text1"/>
          <w:szCs w:val="22"/>
          <w:lang w:bidi="ar-SA"/>
        </w:rPr>
        <w:t>. Once the fermentation has been completed</w:t>
      </w:r>
      <w:r w:rsidR="00F71F06">
        <w:rPr>
          <w:rFonts w:eastAsia="Calibri"/>
          <w:color w:val="000000" w:themeColor="text1"/>
          <w:szCs w:val="22"/>
          <w:lang w:bidi="ar-SA"/>
        </w:rPr>
        <w:t>,</w:t>
      </w:r>
      <w:r>
        <w:rPr>
          <w:rFonts w:eastAsia="Calibri"/>
          <w:color w:val="000000" w:themeColor="text1"/>
          <w:szCs w:val="22"/>
          <w:lang w:bidi="ar-SA"/>
        </w:rPr>
        <w:t xml:space="preserve"> the broth containing the enzyme undergoes a number of separation and concentration steps to produce the final commercial enzyme preparation. The preparation is also standardised to ensure the appropriate concentration of the enzyme in the preparation</w:t>
      </w:r>
      <w:r w:rsidR="00D24BC6">
        <w:rPr>
          <w:rFonts w:eastAsia="Calibri"/>
          <w:color w:val="000000" w:themeColor="text1"/>
          <w:szCs w:val="22"/>
          <w:lang w:bidi="ar-SA"/>
        </w:rPr>
        <w:t xml:space="preserve">. The enzyme </w:t>
      </w:r>
      <w:r>
        <w:rPr>
          <w:rFonts w:eastAsia="Calibri"/>
          <w:color w:val="000000" w:themeColor="text1"/>
          <w:szCs w:val="22"/>
          <w:lang w:bidi="ar-SA"/>
        </w:rPr>
        <w:t xml:space="preserve">is sprayed dried onto a solid carrier, being dextrin, so that the </w:t>
      </w:r>
      <w:r w:rsidR="00D24BC6">
        <w:rPr>
          <w:rFonts w:eastAsia="Calibri"/>
          <w:color w:val="000000" w:themeColor="text1"/>
          <w:szCs w:val="22"/>
          <w:lang w:bidi="ar-SA"/>
        </w:rPr>
        <w:t xml:space="preserve">enzyme </w:t>
      </w:r>
      <w:r>
        <w:rPr>
          <w:rFonts w:eastAsia="Calibri"/>
          <w:color w:val="000000" w:themeColor="text1"/>
          <w:szCs w:val="22"/>
          <w:lang w:bidi="ar-SA"/>
        </w:rPr>
        <w:t xml:space="preserve">preparation is a powder. The final powdered enzyme preparation contains 7% </w:t>
      </w:r>
      <w:r>
        <w:rPr>
          <w:rFonts w:eastAsia="Calibri"/>
          <w:color w:val="000000" w:themeColor="text1"/>
          <w:szCs w:val="22"/>
          <w:lang w:bidi="ar-SA"/>
        </w:rPr>
        <w:lastRenderedPageBreak/>
        <w:t xml:space="preserve">enzyme and 93% dextrin. </w:t>
      </w:r>
    </w:p>
    <w:p w14:paraId="7096DAB0" w14:textId="77777777" w:rsidR="000C7205" w:rsidRDefault="000C7205" w:rsidP="000C7205">
      <w:pPr>
        <w:rPr>
          <w:rFonts w:eastAsia="Calibri"/>
          <w:color w:val="000000" w:themeColor="text1"/>
          <w:szCs w:val="22"/>
          <w:lang w:bidi="ar-SA"/>
        </w:rPr>
      </w:pPr>
    </w:p>
    <w:p w14:paraId="698DEF46" w14:textId="77777777" w:rsidR="00D24BC6" w:rsidRDefault="000C7205" w:rsidP="000C7205">
      <w:pPr>
        <w:rPr>
          <w:rFonts w:eastAsia="Calibri"/>
          <w:color w:val="000000" w:themeColor="text1"/>
          <w:szCs w:val="22"/>
          <w:lang w:bidi="ar-SA"/>
        </w:rPr>
      </w:pPr>
      <w:r>
        <w:rPr>
          <w:rFonts w:eastAsia="Calibri"/>
          <w:color w:val="000000" w:themeColor="text1"/>
          <w:szCs w:val="22"/>
          <w:lang w:bidi="ar-SA"/>
        </w:rPr>
        <w:t>The production of the enzyme preparation is represented by the schematic in Figure 1 taken from the Application</w:t>
      </w:r>
      <w:r w:rsidR="00D24BC6">
        <w:rPr>
          <w:rFonts w:eastAsia="Calibri"/>
          <w:color w:val="000000" w:themeColor="text1"/>
          <w:szCs w:val="22"/>
          <w:lang w:bidi="ar-SA"/>
        </w:rPr>
        <w:t>, noting the standardisation occurs after the spray drying step.</w:t>
      </w:r>
    </w:p>
    <w:p w14:paraId="665076DD" w14:textId="67AC84B7" w:rsidR="000C7205" w:rsidRDefault="000C7205" w:rsidP="000C7205">
      <w:pPr>
        <w:rPr>
          <w:rFonts w:eastAsia="Calibri"/>
          <w:color w:val="000000" w:themeColor="text1"/>
          <w:szCs w:val="22"/>
          <w:lang w:bidi="ar-SA"/>
        </w:rPr>
      </w:pPr>
    </w:p>
    <w:p w14:paraId="37ECEFE6" w14:textId="77777777" w:rsidR="000C7205" w:rsidRDefault="000C7205" w:rsidP="000C7205">
      <w:pPr>
        <w:rPr>
          <w:rFonts w:eastAsia="Calibri"/>
          <w:color w:val="000000" w:themeColor="text1"/>
          <w:szCs w:val="22"/>
          <w:lang w:bidi="ar-SA"/>
        </w:rPr>
      </w:pPr>
      <w:r>
        <w:rPr>
          <w:noProof/>
          <w:lang w:eastAsia="en-GB" w:bidi="ar-SA"/>
        </w:rPr>
        <w:drawing>
          <wp:inline distT="0" distB="0" distL="0" distR="0" wp14:anchorId="69F5BC2A" wp14:editId="1340924B">
            <wp:extent cx="5334000" cy="471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34000" cy="4714875"/>
                    </a:xfrm>
                    <a:prstGeom prst="rect">
                      <a:avLst/>
                    </a:prstGeom>
                  </pic:spPr>
                </pic:pic>
              </a:graphicData>
            </a:graphic>
          </wp:inline>
        </w:drawing>
      </w:r>
    </w:p>
    <w:p w14:paraId="17BC2ED0" w14:textId="77777777" w:rsidR="000C7205" w:rsidRDefault="000C7205" w:rsidP="005D3046">
      <w:pPr>
        <w:pStyle w:val="FSFigureTitle"/>
        <w:jc w:val="center"/>
        <w:rPr>
          <w:rFonts w:eastAsia="Calibri"/>
          <w:lang w:bidi="ar-SA"/>
        </w:rPr>
      </w:pPr>
      <w:r w:rsidRPr="005D3046">
        <w:rPr>
          <w:rFonts w:eastAsia="Calibri"/>
          <w:lang w:bidi="ar-SA"/>
        </w:rPr>
        <w:t>Figure 1</w:t>
      </w:r>
      <w:r w:rsidRPr="00904469">
        <w:rPr>
          <w:rFonts w:eastAsia="Calibri"/>
          <w:lang w:bidi="ar-SA"/>
        </w:rPr>
        <w:t>:</w:t>
      </w:r>
      <w:r>
        <w:rPr>
          <w:rFonts w:eastAsia="Calibri"/>
          <w:lang w:bidi="ar-SA"/>
        </w:rPr>
        <w:t xml:space="preserve"> Schematic of the production process of the enzyme preparation</w:t>
      </w:r>
    </w:p>
    <w:p w14:paraId="4EF765C2" w14:textId="13467FFE" w:rsidR="000C7205" w:rsidRDefault="000C7205" w:rsidP="000C7205">
      <w:pPr>
        <w:pStyle w:val="Heading3"/>
      </w:pPr>
      <w:bookmarkStart w:id="17" w:name="_Toc471220462"/>
      <w:bookmarkStart w:id="18" w:name="_Toc485991969"/>
      <w:r>
        <w:t>2.2.</w:t>
      </w:r>
      <w:r w:rsidR="003406CA">
        <w:t>2</w:t>
      </w:r>
      <w:r>
        <w:tab/>
        <w:t>Specifications</w:t>
      </w:r>
      <w:bookmarkEnd w:id="17"/>
      <w:bookmarkEnd w:id="18"/>
    </w:p>
    <w:p w14:paraId="04079873" w14:textId="45C949C0" w:rsidR="000C7205" w:rsidRPr="006014F1" w:rsidRDefault="000C7205" w:rsidP="000C7205">
      <w:r w:rsidRPr="006014F1">
        <w:t>There are international specifications for enzyme preparations used in the production of food. These have been established by the Joint FAO/WHO Expert Committee on Food Additives</w:t>
      </w:r>
      <w:r>
        <w:t xml:space="preserve"> (JECFA) in its Compendium of Food Additive Specifications </w:t>
      </w:r>
      <w:r w:rsidRPr="006014F1">
        <w:t xml:space="preserve">(JECFA 2016) and </w:t>
      </w:r>
      <w:r>
        <w:t xml:space="preserve">in </w:t>
      </w:r>
      <w:r w:rsidRPr="006014F1">
        <w:t>the Food Chemicals C</w:t>
      </w:r>
      <w:r>
        <w:t>odex (Food Chemicals Codex 2014</w:t>
      </w:r>
      <w:r w:rsidRPr="006014F1">
        <w:t xml:space="preserve">). These primary sources of specifications are listed in </w:t>
      </w:r>
      <w:r w:rsidR="00904469">
        <w:t xml:space="preserve">the table to </w:t>
      </w:r>
      <w:r>
        <w:t>section</w:t>
      </w:r>
      <w:r w:rsidRPr="006014F1">
        <w:t xml:space="preserve"> S3—2 of </w:t>
      </w:r>
      <w:r>
        <w:t xml:space="preserve">Schedule 3 </w:t>
      </w:r>
      <w:r w:rsidR="005D3046">
        <w:t xml:space="preserve">– </w:t>
      </w:r>
      <w:r>
        <w:t xml:space="preserve">Identity and </w:t>
      </w:r>
      <w:r w:rsidR="00904469">
        <w:t>p</w:t>
      </w:r>
      <w:r>
        <w:t>urity</w:t>
      </w:r>
      <w:r w:rsidRPr="006014F1">
        <w:t>. Enzyme preparations need to meet these enzyme specifications. Schedule 3 of the Code also includes specifications for heavy metals</w:t>
      </w:r>
      <w:r>
        <w:t xml:space="preserve"> (section S3—4) if they are not specified within specifications in sections S3—2 and S3—3.</w:t>
      </w:r>
    </w:p>
    <w:p w14:paraId="32702681" w14:textId="77777777" w:rsidR="000C7205" w:rsidRPr="006014F1" w:rsidRDefault="000C7205" w:rsidP="000C7205"/>
    <w:p w14:paraId="1381FB95" w14:textId="77777777" w:rsidR="000C7205" w:rsidRPr="006014F1" w:rsidRDefault="000C7205" w:rsidP="000C7205">
      <w:r w:rsidRPr="006014F1">
        <w:t xml:space="preserve">Table </w:t>
      </w:r>
      <w:r>
        <w:t>2</w:t>
      </w:r>
      <w:r w:rsidRPr="006014F1">
        <w:t xml:space="preserve"> provides a comparison of the product specifications with the international specifications established by JECFA as well as those detailed in the Code (as applicable). </w:t>
      </w:r>
    </w:p>
    <w:p w14:paraId="7C9D3900" w14:textId="77777777" w:rsidR="000C7205" w:rsidRDefault="000C7205" w:rsidP="000C7205">
      <w:pPr>
        <w:rPr>
          <w:lang w:eastAsia="en-AU" w:bidi="ar-SA"/>
        </w:rPr>
      </w:pPr>
    </w:p>
    <w:p w14:paraId="31853012" w14:textId="77777777" w:rsidR="00F71F06" w:rsidRDefault="00F71F06" w:rsidP="000C7205">
      <w:pPr>
        <w:pStyle w:val="FSTableTitle"/>
        <w:keepNext/>
        <w:widowControl/>
      </w:pPr>
    </w:p>
    <w:p w14:paraId="086F92B5" w14:textId="77777777" w:rsidR="005D3046" w:rsidRDefault="005D3046" w:rsidP="005D3046"/>
    <w:p w14:paraId="3B5BCC99" w14:textId="77777777" w:rsidR="005D3046" w:rsidRPr="005D3046" w:rsidRDefault="005D3046" w:rsidP="005D3046"/>
    <w:p w14:paraId="36A0A5D8" w14:textId="04CB5B05" w:rsidR="000C7205" w:rsidRDefault="000C7205" w:rsidP="000C7205">
      <w:pPr>
        <w:pStyle w:val="FSTableTitle"/>
        <w:keepNext/>
        <w:widowControl/>
      </w:pPr>
      <w:bookmarkStart w:id="19" w:name="_GoBack"/>
      <w:bookmarkEnd w:id="19"/>
      <w:r w:rsidRPr="000C7205">
        <w:lastRenderedPageBreak/>
        <w:t xml:space="preserve">Table 1: </w:t>
      </w:r>
      <w:r w:rsidR="00F71F06">
        <w:t>S</w:t>
      </w:r>
      <w:r w:rsidRPr="000C7205">
        <w:t>pecifications for commercial enzyme preparation compared to JECFA and Code specifications for enzymes</w:t>
      </w:r>
    </w:p>
    <w:p w14:paraId="64AE5CF1" w14:textId="77777777" w:rsidR="00904469" w:rsidRPr="00904469" w:rsidRDefault="00904469" w:rsidP="005D3046"/>
    <w:tbl>
      <w:tblPr>
        <w:tblStyle w:val="TableClassic4"/>
        <w:tblW w:w="9780" w:type="dxa"/>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Description w:val="Comparison of the analysis of the enzyme preparation with those of JECFA specification for enzymes and the heavy metal limits in the Code"/>
      </w:tblPr>
      <w:tblGrid>
        <w:gridCol w:w="2367"/>
        <w:gridCol w:w="2471"/>
        <w:gridCol w:w="2471"/>
        <w:gridCol w:w="2471"/>
      </w:tblGrid>
      <w:tr w:rsidR="000C7205" w:rsidRPr="006014F1" w14:paraId="3423B382" w14:textId="77777777" w:rsidTr="006C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EEECE1" w:themeFill="background2"/>
          </w:tcPr>
          <w:p w14:paraId="4C071813" w14:textId="77777777" w:rsidR="000C7205" w:rsidRPr="006014F1" w:rsidRDefault="000C7205" w:rsidP="000C7205">
            <w:pPr>
              <w:pStyle w:val="FSTableHeading"/>
              <w:keepNext/>
              <w:widowControl/>
              <w:rPr>
                <w:b/>
              </w:rPr>
            </w:pPr>
          </w:p>
          <w:p w14:paraId="47336B1E" w14:textId="77777777" w:rsidR="000C7205" w:rsidRPr="006014F1" w:rsidRDefault="000C7205" w:rsidP="000C7205">
            <w:pPr>
              <w:pStyle w:val="FSTableHeading"/>
              <w:keepNext/>
              <w:widowControl/>
              <w:rPr>
                <w:color w:val="auto"/>
              </w:rPr>
            </w:pPr>
            <w:r w:rsidRPr="006014F1">
              <w:rPr>
                <w:color w:val="auto"/>
              </w:rPr>
              <w:t>Analysis</w:t>
            </w:r>
          </w:p>
        </w:tc>
        <w:tc>
          <w:tcPr>
            <w:tcW w:w="7413" w:type="dxa"/>
            <w:gridSpan w:val="3"/>
            <w:shd w:val="clear" w:color="99CCFF" w:fill="EEECE1" w:themeFill="background2"/>
          </w:tcPr>
          <w:p w14:paraId="1AA12C0D" w14:textId="77777777" w:rsidR="000C7205" w:rsidRPr="006014F1" w:rsidRDefault="000C7205" w:rsidP="000C7205">
            <w:pPr>
              <w:pStyle w:val="FSTableHeading"/>
              <w:keepNext/>
              <w:widowControl/>
              <w:cnfStyle w:val="100000000000" w:firstRow="1" w:lastRow="0" w:firstColumn="0" w:lastColumn="0" w:oddVBand="0" w:evenVBand="0" w:oddHBand="0" w:evenHBand="0" w:firstRowFirstColumn="0" w:firstRowLastColumn="0" w:lastRowFirstColumn="0" w:lastRowLastColumn="0"/>
            </w:pPr>
            <w:r w:rsidRPr="006014F1">
              <w:rPr>
                <w:color w:val="auto"/>
              </w:rPr>
              <w:t>Specifications</w:t>
            </w:r>
          </w:p>
        </w:tc>
      </w:tr>
      <w:tr w:rsidR="000C7205" w:rsidRPr="006014F1" w14:paraId="2F4FB2E8" w14:textId="77777777" w:rsidTr="006C4368">
        <w:tc>
          <w:tcPr>
            <w:cnfStyle w:val="001000000000" w:firstRow="0" w:lastRow="0" w:firstColumn="1" w:lastColumn="0" w:oddVBand="0" w:evenVBand="0" w:oddHBand="0" w:evenHBand="0" w:firstRowFirstColumn="0" w:firstRowLastColumn="0" w:lastRowFirstColumn="0" w:lastRowLastColumn="0"/>
            <w:tcW w:w="2367" w:type="dxa"/>
            <w:vMerge/>
            <w:shd w:val="clear" w:color="99CCFF" w:fill="EEECE1" w:themeFill="background2"/>
          </w:tcPr>
          <w:p w14:paraId="58AA5253" w14:textId="77777777" w:rsidR="000C7205" w:rsidRPr="006014F1" w:rsidRDefault="000C7205" w:rsidP="000C7205">
            <w:pPr>
              <w:pStyle w:val="FSTableHeading"/>
              <w:keepNext/>
              <w:widowControl/>
            </w:pPr>
          </w:p>
        </w:tc>
        <w:tc>
          <w:tcPr>
            <w:tcW w:w="2471" w:type="dxa"/>
            <w:shd w:val="clear" w:color="99CCFF" w:fill="EEECE1" w:themeFill="background2"/>
          </w:tcPr>
          <w:p w14:paraId="19251AAA" w14:textId="715E6230" w:rsidR="000C7205" w:rsidRPr="006014F1" w:rsidRDefault="00121250" w:rsidP="000C7205">
            <w:pPr>
              <w:pStyle w:val="FSTableHeading"/>
              <w:keepNext/>
              <w:widowControl/>
              <w:cnfStyle w:val="000000000000" w:firstRow="0" w:lastRow="0" w:firstColumn="0" w:lastColumn="0" w:oddVBand="0" w:evenVBand="0" w:oddHBand="0" w:evenHBand="0" w:firstRowFirstColumn="0" w:firstRowLastColumn="0" w:lastRowFirstColumn="0" w:lastRowLastColumn="0"/>
            </w:pPr>
            <w:r>
              <w:t xml:space="preserve">Amano </w:t>
            </w:r>
            <w:r w:rsidR="000C7205" w:rsidRPr="006014F1">
              <w:t>Product</w:t>
            </w:r>
          </w:p>
        </w:tc>
        <w:tc>
          <w:tcPr>
            <w:tcW w:w="2471" w:type="dxa"/>
            <w:shd w:val="clear" w:color="99CCFF" w:fill="EEECE1" w:themeFill="background2"/>
          </w:tcPr>
          <w:p w14:paraId="3F7C9D70" w14:textId="77777777" w:rsidR="000C7205" w:rsidRPr="006014F1"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pPr>
            <w:r w:rsidRPr="006014F1">
              <w:t xml:space="preserve">JECFA </w:t>
            </w:r>
          </w:p>
        </w:tc>
        <w:tc>
          <w:tcPr>
            <w:tcW w:w="2471" w:type="dxa"/>
            <w:shd w:val="clear" w:color="99CCFF" w:fill="EEECE1" w:themeFill="background2"/>
          </w:tcPr>
          <w:p w14:paraId="2AB09593" w14:textId="606C49E7" w:rsidR="000C7205"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rPr>
                <w:i/>
              </w:rPr>
            </w:pPr>
            <w:r w:rsidRPr="00F418CA">
              <w:rPr>
                <w:i/>
              </w:rPr>
              <w:t xml:space="preserve">Australia New Zealand Food Standards Code </w:t>
            </w:r>
            <w:r>
              <w:rPr>
                <w:i/>
              </w:rPr>
              <w:t>(metals)</w:t>
            </w:r>
          </w:p>
          <w:p w14:paraId="5366F19B" w14:textId="77777777" w:rsidR="000C7205" w:rsidRPr="00F418CA"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rPr>
                <w:i/>
              </w:rPr>
            </w:pPr>
            <w:r>
              <w:rPr>
                <w:i/>
              </w:rPr>
              <w:t>(</w:t>
            </w:r>
            <w:r w:rsidRPr="001F1B0C">
              <w:rPr>
                <w:i/>
              </w:rPr>
              <w:t>section S3—4</w:t>
            </w:r>
            <w:r>
              <w:rPr>
                <w:i/>
              </w:rPr>
              <w:t>)</w:t>
            </w:r>
          </w:p>
        </w:tc>
      </w:tr>
      <w:tr w:rsidR="000C7205" w:rsidRPr="000C7205" w14:paraId="58EBFE02" w14:textId="77777777" w:rsidTr="006C4368">
        <w:tc>
          <w:tcPr>
            <w:cnfStyle w:val="001000000000" w:firstRow="0" w:lastRow="0" w:firstColumn="1" w:lastColumn="0" w:oddVBand="0" w:evenVBand="0" w:oddHBand="0" w:evenHBand="0" w:firstRowFirstColumn="0" w:firstRowLastColumn="0" w:lastRowFirstColumn="0" w:lastRowLastColumn="0"/>
            <w:tcW w:w="2367" w:type="dxa"/>
          </w:tcPr>
          <w:p w14:paraId="1F8F41D4" w14:textId="77777777" w:rsidR="000C7205" w:rsidRPr="000C7205" w:rsidRDefault="000C7205" w:rsidP="000C7205">
            <w:pPr>
              <w:pStyle w:val="FSTableText"/>
              <w:keepNext/>
              <w:widowControl/>
              <w:rPr>
                <w:b w:val="0"/>
              </w:rPr>
            </w:pPr>
            <w:r w:rsidRPr="000C7205">
              <w:rPr>
                <w:b w:val="0"/>
              </w:rPr>
              <w:t>Lead (mg/kg)</w:t>
            </w:r>
          </w:p>
        </w:tc>
        <w:tc>
          <w:tcPr>
            <w:tcW w:w="2471" w:type="dxa"/>
          </w:tcPr>
          <w:p w14:paraId="55DD29CC"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&lt;0.10</w:t>
            </w:r>
          </w:p>
        </w:tc>
        <w:tc>
          <w:tcPr>
            <w:tcW w:w="2471" w:type="dxa"/>
          </w:tcPr>
          <w:p w14:paraId="20995166"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5</w:t>
            </w:r>
          </w:p>
        </w:tc>
        <w:tc>
          <w:tcPr>
            <w:tcW w:w="2471" w:type="dxa"/>
          </w:tcPr>
          <w:p w14:paraId="34D48B2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≤2</w:t>
            </w:r>
          </w:p>
        </w:tc>
      </w:tr>
      <w:tr w:rsidR="000C7205" w:rsidRPr="000C7205" w14:paraId="6BA625A3" w14:textId="77777777" w:rsidTr="006C4368">
        <w:tc>
          <w:tcPr>
            <w:cnfStyle w:val="001000000000" w:firstRow="0" w:lastRow="0" w:firstColumn="1" w:lastColumn="0" w:oddVBand="0" w:evenVBand="0" w:oddHBand="0" w:evenHBand="0" w:firstRowFirstColumn="0" w:firstRowLastColumn="0" w:lastRowFirstColumn="0" w:lastRowLastColumn="0"/>
            <w:tcW w:w="2367" w:type="dxa"/>
          </w:tcPr>
          <w:p w14:paraId="707C898F" w14:textId="77777777" w:rsidR="000C7205" w:rsidRPr="000C7205" w:rsidRDefault="000C7205" w:rsidP="000C7205">
            <w:pPr>
              <w:pStyle w:val="FSTableText"/>
              <w:keepNext/>
              <w:widowControl/>
              <w:rPr>
                <w:b w:val="0"/>
              </w:rPr>
            </w:pPr>
            <w:r w:rsidRPr="000C7205">
              <w:rPr>
                <w:b w:val="0"/>
              </w:rPr>
              <w:t>Arsenic (mg/kg)</w:t>
            </w:r>
          </w:p>
        </w:tc>
        <w:tc>
          <w:tcPr>
            <w:tcW w:w="2471" w:type="dxa"/>
          </w:tcPr>
          <w:p w14:paraId="74B6364C"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&lt;1.0</w:t>
            </w:r>
          </w:p>
        </w:tc>
        <w:tc>
          <w:tcPr>
            <w:tcW w:w="2471" w:type="dxa"/>
          </w:tcPr>
          <w:p w14:paraId="0D4DEB7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014FC0D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4F56E790" w14:textId="77777777" w:rsidTr="006C4368">
        <w:tc>
          <w:tcPr>
            <w:cnfStyle w:val="001000000000" w:firstRow="0" w:lastRow="0" w:firstColumn="1" w:lastColumn="0" w:oddVBand="0" w:evenVBand="0" w:oddHBand="0" w:evenHBand="0" w:firstRowFirstColumn="0" w:firstRowLastColumn="0" w:lastRowFirstColumn="0" w:lastRowLastColumn="0"/>
            <w:tcW w:w="2367" w:type="dxa"/>
          </w:tcPr>
          <w:p w14:paraId="5FFED221" w14:textId="77777777" w:rsidR="000C7205" w:rsidRPr="000C7205" w:rsidRDefault="000C7205" w:rsidP="000C7205">
            <w:pPr>
              <w:pStyle w:val="FSTableText"/>
              <w:keepNext/>
              <w:widowControl/>
              <w:rPr>
                <w:b w:val="0"/>
              </w:rPr>
            </w:pPr>
            <w:r w:rsidRPr="000C7205">
              <w:rPr>
                <w:b w:val="0"/>
              </w:rPr>
              <w:t>Mercury (mg/kg)</w:t>
            </w:r>
          </w:p>
        </w:tc>
        <w:tc>
          <w:tcPr>
            <w:tcW w:w="2471" w:type="dxa"/>
          </w:tcPr>
          <w:p w14:paraId="4DD02137"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&lt;0.001</w:t>
            </w:r>
          </w:p>
        </w:tc>
        <w:tc>
          <w:tcPr>
            <w:tcW w:w="2471" w:type="dxa"/>
          </w:tcPr>
          <w:p w14:paraId="44972408"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754E13B4"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2A2FD006" w14:textId="77777777" w:rsidTr="006C4368">
        <w:tc>
          <w:tcPr>
            <w:cnfStyle w:val="001000000000" w:firstRow="0" w:lastRow="0" w:firstColumn="1" w:lastColumn="0" w:oddVBand="0" w:evenVBand="0" w:oddHBand="0" w:evenHBand="0" w:firstRowFirstColumn="0" w:firstRowLastColumn="0" w:lastRowFirstColumn="0" w:lastRowLastColumn="0"/>
            <w:tcW w:w="2367" w:type="dxa"/>
          </w:tcPr>
          <w:p w14:paraId="53FE4CDD" w14:textId="77777777" w:rsidR="000C7205" w:rsidRPr="000C7205" w:rsidRDefault="000C7205" w:rsidP="000C7205">
            <w:pPr>
              <w:pStyle w:val="FSTableText"/>
              <w:keepNext/>
              <w:widowControl/>
              <w:rPr>
                <w:b w:val="0"/>
              </w:rPr>
            </w:pPr>
            <w:r w:rsidRPr="000C7205">
              <w:rPr>
                <w:b w:val="0"/>
              </w:rPr>
              <w:t>Cadmium (mg/kg)</w:t>
            </w:r>
          </w:p>
        </w:tc>
        <w:tc>
          <w:tcPr>
            <w:tcW w:w="2471" w:type="dxa"/>
          </w:tcPr>
          <w:p w14:paraId="5DD7940C"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&lt;0.001</w:t>
            </w:r>
          </w:p>
        </w:tc>
        <w:tc>
          <w:tcPr>
            <w:tcW w:w="2471" w:type="dxa"/>
          </w:tcPr>
          <w:p w14:paraId="3257816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620D101B"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1E5D06D4" w14:textId="77777777" w:rsidTr="006C4368">
        <w:tc>
          <w:tcPr>
            <w:cnfStyle w:val="001000000000" w:firstRow="0" w:lastRow="0" w:firstColumn="1" w:lastColumn="0" w:oddVBand="0" w:evenVBand="0" w:oddHBand="0" w:evenHBand="0" w:firstRowFirstColumn="0" w:firstRowLastColumn="0" w:lastRowFirstColumn="0" w:lastRowLastColumn="0"/>
            <w:tcW w:w="2367" w:type="dxa"/>
          </w:tcPr>
          <w:p w14:paraId="074C4575" w14:textId="77777777" w:rsidR="000C7205" w:rsidRPr="000C7205" w:rsidRDefault="000C7205" w:rsidP="000C7205">
            <w:pPr>
              <w:pStyle w:val="FSTableText"/>
              <w:keepNext/>
              <w:widowControl/>
              <w:rPr>
                <w:b w:val="0"/>
              </w:rPr>
            </w:pPr>
            <w:r w:rsidRPr="000C7205">
              <w:rPr>
                <w:b w:val="0"/>
              </w:rPr>
              <w:t>Antimicrobial activity</w:t>
            </w:r>
          </w:p>
        </w:tc>
        <w:tc>
          <w:tcPr>
            <w:tcW w:w="2471" w:type="dxa"/>
          </w:tcPr>
          <w:p w14:paraId="141153B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Not detected</w:t>
            </w:r>
          </w:p>
        </w:tc>
        <w:tc>
          <w:tcPr>
            <w:tcW w:w="2471" w:type="dxa"/>
          </w:tcPr>
          <w:p w14:paraId="77C5BF37"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Not detected</w:t>
            </w:r>
          </w:p>
        </w:tc>
        <w:tc>
          <w:tcPr>
            <w:tcW w:w="2471" w:type="dxa"/>
          </w:tcPr>
          <w:p w14:paraId="7845871B"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2DD2DA5C" w14:textId="77777777" w:rsidTr="006C4368">
        <w:tc>
          <w:tcPr>
            <w:cnfStyle w:val="001000000000" w:firstRow="0" w:lastRow="0" w:firstColumn="1" w:lastColumn="0" w:oddVBand="0" w:evenVBand="0" w:oddHBand="0" w:evenHBand="0" w:firstRowFirstColumn="0" w:firstRowLastColumn="0" w:lastRowFirstColumn="0" w:lastRowLastColumn="0"/>
            <w:tcW w:w="2367" w:type="dxa"/>
          </w:tcPr>
          <w:p w14:paraId="71DBBBC5" w14:textId="77777777" w:rsidR="000C7205" w:rsidRPr="000C7205" w:rsidRDefault="000C7205" w:rsidP="000C7205">
            <w:pPr>
              <w:pStyle w:val="FSTableText"/>
              <w:keepNext/>
              <w:widowControl/>
              <w:rPr>
                <w:b w:val="0"/>
              </w:rPr>
            </w:pPr>
            <w:r w:rsidRPr="000C7205">
              <w:rPr>
                <w:b w:val="0"/>
              </w:rPr>
              <w:t>Coliforms (</w:t>
            </w:r>
            <w:proofErr w:type="spellStart"/>
            <w:r w:rsidRPr="000C7205">
              <w:rPr>
                <w:b w:val="0"/>
              </w:rPr>
              <w:t>cfu</w:t>
            </w:r>
            <w:proofErr w:type="spellEnd"/>
            <w:r w:rsidRPr="000C7205">
              <w:rPr>
                <w:b w:val="0"/>
              </w:rPr>
              <w:t>/g)</w:t>
            </w:r>
          </w:p>
        </w:tc>
        <w:tc>
          <w:tcPr>
            <w:tcW w:w="2471" w:type="dxa"/>
          </w:tcPr>
          <w:p w14:paraId="15BF5CB8"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≤10</w:t>
            </w:r>
          </w:p>
        </w:tc>
        <w:tc>
          <w:tcPr>
            <w:tcW w:w="2471" w:type="dxa"/>
          </w:tcPr>
          <w:p w14:paraId="6954C4C0"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xml:space="preserve">≤30 </w:t>
            </w:r>
          </w:p>
        </w:tc>
        <w:tc>
          <w:tcPr>
            <w:tcW w:w="2471" w:type="dxa"/>
          </w:tcPr>
          <w:p w14:paraId="740CE5A5"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139B1E96" w14:textId="77777777" w:rsidTr="006C4368">
        <w:tc>
          <w:tcPr>
            <w:cnfStyle w:val="001000000000" w:firstRow="0" w:lastRow="0" w:firstColumn="1" w:lastColumn="0" w:oddVBand="0" w:evenVBand="0" w:oddHBand="0" w:evenHBand="0" w:firstRowFirstColumn="0" w:firstRowLastColumn="0" w:lastRowFirstColumn="0" w:lastRowLastColumn="0"/>
            <w:tcW w:w="2367" w:type="dxa"/>
          </w:tcPr>
          <w:p w14:paraId="0D0FD929" w14:textId="77777777" w:rsidR="000C7205" w:rsidRPr="000C7205" w:rsidRDefault="000C7205" w:rsidP="000C7205">
            <w:pPr>
              <w:pStyle w:val="FSTableText"/>
              <w:keepNext/>
              <w:widowControl/>
              <w:rPr>
                <w:b w:val="0"/>
              </w:rPr>
            </w:pPr>
            <w:r w:rsidRPr="000C7205">
              <w:rPr>
                <w:b w:val="0"/>
                <w:i/>
              </w:rPr>
              <w:t>Salmonella</w:t>
            </w:r>
            <w:r w:rsidRPr="000C7205">
              <w:rPr>
                <w:b w:val="0"/>
              </w:rPr>
              <w:t xml:space="preserve"> (in 25 g)</w:t>
            </w:r>
          </w:p>
        </w:tc>
        <w:tc>
          <w:tcPr>
            <w:tcW w:w="2471" w:type="dxa"/>
          </w:tcPr>
          <w:p w14:paraId="340AB64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w:t>
            </w:r>
          </w:p>
        </w:tc>
        <w:tc>
          <w:tcPr>
            <w:tcW w:w="2471" w:type="dxa"/>
          </w:tcPr>
          <w:p w14:paraId="19FFF7CC"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w:t>
            </w:r>
          </w:p>
        </w:tc>
        <w:tc>
          <w:tcPr>
            <w:tcW w:w="2471" w:type="dxa"/>
          </w:tcPr>
          <w:p w14:paraId="0BD20875"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453FC71D" w14:textId="77777777" w:rsidTr="006C4368">
        <w:tc>
          <w:tcPr>
            <w:cnfStyle w:val="001000000000" w:firstRow="0" w:lastRow="0" w:firstColumn="1" w:lastColumn="0" w:oddVBand="0" w:evenVBand="0" w:oddHBand="0" w:evenHBand="0" w:firstRowFirstColumn="0" w:firstRowLastColumn="0" w:lastRowFirstColumn="0" w:lastRowLastColumn="0"/>
            <w:tcW w:w="2367" w:type="dxa"/>
          </w:tcPr>
          <w:p w14:paraId="40F12F2B" w14:textId="77777777" w:rsidR="000C7205" w:rsidRPr="000C7205" w:rsidRDefault="000C7205" w:rsidP="000C7205">
            <w:pPr>
              <w:pStyle w:val="FSTableText"/>
              <w:keepNext/>
              <w:widowControl/>
              <w:rPr>
                <w:b w:val="0"/>
                <w:i/>
              </w:rPr>
            </w:pPr>
            <w:r w:rsidRPr="000C7205">
              <w:rPr>
                <w:b w:val="0"/>
                <w:i/>
              </w:rPr>
              <w:t xml:space="preserve">E. coli </w:t>
            </w:r>
          </w:p>
        </w:tc>
        <w:tc>
          <w:tcPr>
            <w:tcW w:w="2471" w:type="dxa"/>
          </w:tcPr>
          <w:p w14:paraId="7FAB53D1"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Absent/10 g</w:t>
            </w:r>
          </w:p>
        </w:tc>
        <w:tc>
          <w:tcPr>
            <w:tcW w:w="2471" w:type="dxa"/>
          </w:tcPr>
          <w:p w14:paraId="6ABB78E7"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xml:space="preserve">Absent/25 g </w:t>
            </w:r>
          </w:p>
        </w:tc>
        <w:tc>
          <w:tcPr>
            <w:tcW w:w="2471" w:type="dxa"/>
          </w:tcPr>
          <w:p w14:paraId="351A190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bl>
    <w:p w14:paraId="3AC670A3" w14:textId="77777777" w:rsidR="000C7205" w:rsidRPr="006014F1" w:rsidRDefault="000C7205" w:rsidP="000C7205"/>
    <w:p w14:paraId="69DBF388" w14:textId="4BC4CED1" w:rsidR="000C7205" w:rsidRDefault="000C7205" w:rsidP="000C7205">
      <w:r>
        <w:t>Based on the above specifications, t</w:t>
      </w:r>
      <w:r w:rsidRPr="006014F1">
        <w:t>he final enzyme preparation meets international and Code specifications for enzyme preparations used in the production of food.</w:t>
      </w:r>
      <w:r>
        <w:t xml:space="preserve"> </w:t>
      </w:r>
    </w:p>
    <w:p w14:paraId="361A8BD6" w14:textId="6B9E65FA" w:rsidR="000C7205" w:rsidRDefault="000C7205" w:rsidP="000C7205">
      <w:pPr>
        <w:pStyle w:val="Heading3"/>
      </w:pPr>
      <w:bookmarkStart w:id="20" w:name="_Toc471220463"/>
      <w:bookmarkStart w:id="21" w:name="_Toc485991970"/>
      <w:r>
        <w:t>2.2.</w:t>
      </w:r>
      <w:r w:rsidR="003406CA">
        <w:t>3</w:t>
      </w:r>
      <w:r>
        <w:tab/>
        <w:t>Stability</w:t>
      </w:r>
      <w:bookmarkEnd w:id="20"/>
      <w:bookmarkEnd w:id="21"/>
    </w:p>
    <w:p w14:paraId="33736C02" w14:textId="034218BE" w:rsidR="000C7205" w:rsidRDefault="000C7205" w:rsidP="000C7205">
      <w:r>
        <w:t>Triacylglycerol lipase has optimal activity between pH 5 to 10</w:t>
      </w:r>
      <w:r w:rsidR="00F71F06">
        <w:t>,</w:t>
      </w:r>
      <w:r>
        <w:t xml:space="preserve"> with the peak at pH 7. Its optimum activity is achieved around 50</w:t>
      </w:r>
      <w:r>
        <w:rPr>
          <w:rFonts w:cs="Arial"/>
        </w:rPr>
        <w:t>°</w:t>
      </w:r>
      <w:r>
        <w:t>C, within the range of 20</w:t>
      </w:r>
      <w:r w:rsidR="00904469">
        <w:rPr>
          <w:rFonts w:cs="Arial"/>
        </w:rPr>
        <w:t>–</w:t>
      </w:r>
      <w:r>
        <w:t>60</w:t>
      </w:r>
      <w:r>
        <w:rPr>
          <w:rFonts w:cs="Arial"/>
        </w:rPr>
        <w:t>°</w:t>
      </w:r>
      <w:r>
        <w:t>C. The enzyme is inactivated at 70</w:t>
      </w:r>
      <w:r>
        <w:rPr>
          <w:rFonts w:cs="Arial"/>
        </w:rPr>
        <w:t>°</w:t>
      </w:r>
      <w:r>
        <w:t xml:space="preserve">C. The enzyme activity </w:t>
      </w:r>
      <w:r w:rsidR="000404CD">
        <w:t>i</w:t>
      </w:r>
      <w:r>
        <w:t xml:space="preserve">s stable at pH 7 between the temperature </w:t>
      </w:r>
      <w:proofErr w:type="gramStart"/>
      <w:r>
        <w:t>range</w:t>
      </w:r>
      <w:proofErr w:type="gramEnd"/>
      <w:r>
        <w:t xml:space="preserve"> of 40</w:t>
      </w:r>
      <w:r w:rsidR="00904469">
        <w:rPr>
          <w:rFonts w:cs="Arial"/>
        </w:rPr>
        <w:t>–</w:t>
      </w:r>
      <w:r>
        <w:t>50</w:t>
      </w:r>
      <w:r>
        <w:rPr>
          <w:rFonts w:cs="Arial"/>
        </w:rPr>
        <w:t>°</w:t>
      </w:r>
      <w:r>
        <w:t>C.</w:t>
      </w:r>
    </w:p>
    <w:p w14:paraId="6E034557" w14:textId="77777777" w:rsidR="000C7205" w:rsidRDefault="000C7205" w:rsidP="000C7205"/>
    <w:p w14:paraId="0E8818CA" w14:textId="77777777" w:rsidR="000C7205" w:rsidRPr="00854F6B" w:rsidRDefault="000C7205" w:rsidP="000C7205">
      <w:r>
        <w:t>The powdered enzyme preparation stored in an airtight bag was assessed to be stable up to 12 months when stored at 25</w:t>
      </w:r>
      <w:r>
        <w:rPr>
          <w:rFonts w:cs="Arial"/>
        </w:rPr>
        <w:t>°</w:t>
      </w:r>
      <w:r>
        <w:t>C, and 3 months when stored at 40</w:t>
      </w:r>
      <w:r>
        <w:rPr>
          <w:rFonts w:cs="Arial"/>
        </w:rPr>
        <w:t>°</w:t>
      </w:r>
      <w:r>
        <w:t xml:space="preserve"> C. </w:t>
      </w:r>
    </w:p>
    <w:p w14:paraId="162BAC5E" w14:textId="77777777" w:rsidR="000C7205" w:rsidRDefault="000C7205" w:rsidP="000C7205">
      <w:pPr>
        <w:pStyle w:val="Heading2"/>
      </w:pPr>
      <w:bookmarkStart w:id="22" w:name="_Toc471220464"/>
      <w:bookmarkStart w:id="23" w:name="_Toc485991971"/>
      <w:r>
        <w:t>2.3</w:t>
      </w:r>
      <w:r>
        <w:tab/>
        <w:t>Food technology conclusion</w:t>
      </w:r>
      <w:bookmarkEnd w:id="22"/>
      <w:bookmarkEnd w:id="23"/>
    </w:p>
    <w:p w14:paraId="2480415B" w14:textId="7CB0ED15" w:rsidR="000C7205" w:rsidRPr="006014F1" w:rsidRDefault="00EA4370" w:rsidP="000C7205">
      <w:r w:rsidRPr="00EA4370">
        <w:t xml:space="preserve">FSANZ concludes </w:t>
      </w:r>
      <w:r>
        <w:t>that t</w:t>
      </w:r>
      <w:r w:rsidR="000C7205" w:rsidRPr="006014F1">
        <w:t>he stated purpose of this enzyme</w:t>
      </w:r>
      <w:r w:rsidR="000C7205">
        <w:t xml:space="preserve"> preparation</w:t>
      </w:r>
      <w:r>
        <w:t>;</w:t>
      </w:r>
      <w:r w:rsidR="000C7205">
        <w:t xml:space="preserve"> </w:t>
      </w:r>
      <w:r w:rsidR="000C7205" w:rsidRPr="006014F1">
        <w:t xml:space="preserve">namely, for use as a processing aid </w:t>
      </w:r>
      <w:r w:rsidR="000C7205">
        <w:t>intended for use</w:t>
      </w:r>
      <w:r w:rsidR="000C7205" w:rsidRPr="006014F1">
        <w:t xml:space="preserve"> </w:t>
      </w:r>
      <w:r w:rsidR="000C7205">
        <w:t xml:space="preserve">in baking, milk and dairy processing, and fats and oil processing </w:t>
      </w:r>
      <w:r w:rsidR="000C7205" w:rsidRPr="006014F1">
        <w:t xml:space="preserve">is clearly articulated in the Application. </w:t>
      </w:r>
      <w:r w:rsidR="00D24BC6">
        <w:rPr>
          <w:lang w:eastAsia="en-AU" w:bidi="ar-SA"/>
        </w:rPr>
        <w:t xml:space="preserve">Triacylglycerol lipase is used to convert fats and oils in various primary food materials to produce different fatty acids which provide enhanced flavour properties. </w:t>
      </w:r>
      <w:r w:rsidR="000C7205" w:rsidRPr="006014F1">
        <w:t>The evidence presented to support the proposed uses provides adequate assurance that the enzyme, in the form and prescribed amounts, is technologically justified and has been demonstrated to be effective in achieving its stated purpose</w:t>
      </w:r>
      <w:r w:rsidR="000C7205" w:rsidRPr="00AA11E5">
        <w:t xml:space="preserve">. </w:t>
      </w:r>
      <w:r w:rsidR="00AA11E5" w:rsidRPr="00AA11E5">
        <w:t xml:space="preserve">That is, it performs its technological purpose during processing and manufacture of food </w:t>
      </w:r>
      <w:r w:rsidR="00AA11E5">
        <w:t>after which</w:t>
      </w:r>
      <w:r w:rsidR="00AA11E5" w:rsidRPr="00AA11E5">
        <w:t xml:space="preserve"> it is inactivated</w:t>
      </w:r>
      <w:r w:rsidR="00AA11E5">
        <w:t xml:space="preserve"> so does not perform any technological function </w:t>
      </w:r>
      <w:r w:rsidR="00AA11E5" w:rsidRPr="00AA11E5">
        <w:t>in the final food</w:t>
      </w:r>
      <w:r w:rsidR="00AA11E5">
        <w:t>. It is therefore appropriately categorised as a processing aid and not a food additive.</w:t>
      </w:r>
      <w:r w:rsidR="00AA11E5" w:rsidRPr="00AA11E5">
        <w:t xml:space="preserve"> </w:t>
      </w:r>
      <w:r w:rsidR="000C7205" w:rsidRPr="006014F1">
        <w:t>The enzyme preparation meets international purity specifications.</w:t>
      </w:r>
    </w:p>
    <w:p w14:paraId="43BC66BD" w14:textId="7F489FEA" w:rsidR="00814242" w:rsidRPr="00232092" w:rsidRDefault="00814242" w:rsidP="00232092">
      <w:pPr>
        <w:pStyle w:val="Heading1"/>
        <w:rPr>
          <w:rFonts w:eastAsia="Calibri"/>
        </w:rPr>
      </w:pPr>
      <w:bookmarkStart w:id="24" w:name="_Toc485991972"/>
      <w:r w:rsidRPr="00232092">
        <w:rPr>
          <w:rFonts w:eastAsia="Calibri"/>
        </w:rPr>
        <w:t>3</w:t>
      </w:r>
      <w:r w:rsidRPr="00232092">
        <w:rPr>
          <w:rFonts w:eastAsia="Calibri"/>
        </w:rPr>
        <w:tab/>
        <w:t>H</w:t>
      </w:r>
      <w:r w:rsidR="00A325FF">
        <w:rPr>
          <w:rFonts w:eastAsia="Calibri"/>
        </w:rPr>
        <w:t>azard a</w:t>
      </w:r>
      <w:r w:rsidRPr="00232092">
        <w:rPr>
          <w:rFonts w:eastAsia="Calibri"/>
        </w:rPr>
        <w:t>ssessment</w:t>
      </w:r>
      <w:bookmarkEnd w:id="24"/>
    </w:p>
    <w:p w14:paraId="43BC66BE" w14:textId="1273128E" w:rsidR="00814242" w:rsidRPr="00962071" w:rsidRDefault="00962071" w:rsidP="00962071">
      <w:pPr>
        <w:pStyle w:val="Heading2"/>
      </w:pPr>
      <w:bookmarkStart w:id="25" w:name="_Toc485991973"/>
      <w:r w:rsidRPr="00962071">
        <w:t>3.1</w:t>
      </w:r>
      <w:r w:rsidRPr="00962071">
        <w:tab/>
      </w:r>
      <w:r w:rsidR="00814242" w:rsidRPr="00962071">
        <w:t>Background</w:t>
      </w:r>
      <w:bookmarkEnd w:id="25"/>
    </w:p>
    <w:p w14:paraId="2D374C5F" w14:textId="4F3DFD33" w:rsidR="004E073B" w:rsidRDefault="00436BAA" w:rsidP="00391B51">
      <w:pPr>
        <w:pStyle w:val="Heading3"/>
      </w:pPr>
      <w:bookmarkStart w:id="26" w:name="_Toc485991974"/>
      <w:r w:rsidRPr="009D534F">
        <w:t>3.1.</w:t>
      </w:r>
      <w:r w:rsidR="009E0B68">
        <w:t>1</w:t>
      </w:r>
      <w:r w:rsidR="00814242" w:rsidRPr="009D534F">
        <w:tab/>
        <w:t>Scope of the hazard assessment</w:t>
      </w:r>
      <w:bookmarkEnd w:id="26"/>
    </w:p>
    <w:p w14:paraId="2B5633F6" w14:textId="173D22A1" w:rsidR="00B520E4" w:rsidRDefault="00B520E4" w:rsidP="00B520E4">
      <w:pPr>
        <w:widowControl/>
        <w:rPr>
          <w:rFonts w:cs="Arial"/>
          <w:iCs/>
          <w:szCs w:val="22"/>
          <w:lang w:bidi="ar-SA"/>
        </w:rPr>
      </w:pPr>
      <w:r w:rsidRPr="00ED44B0">
        <w:rPr>
          <w:rFonts w:cs="Arial"/>
          <w:iCs/>
          <w:szCs w:val="22"/>
          <w:lang w:bidi="ar-SA"/>
        </w:rPr>
        <w:t xml:space="preserve">The aims of the current </w:t>
      </w:r>
      <w:r>
        <w:rPr>
          <w:rFonts w:cs="Arial"/>
          <w:iCs/>
          <w:szCs w:val="22"/>
          <w:lang w:bidi="ar-SA"/>
        </w:rPr>
        <w:t xml:space="preserve">hazard </w:t>
      </w:r>
      <w:r w:rsidRPr="00ED44B0">
        <w:rPr>
          <w:rFonts w:cs="Arial"/>
          <w:iCs/>
          <w:szCs w:val="22"/>
          <w:lang w:bidi="ar-SA"/>
        </w:rPr>
        <w:t>assessment are to:</w:t>
      </w:r>
    </w:p>
    <w:p w14:paraId="39D6B90B" w14:textId="77777777" w:rsidR="009154BB" w:rsidRPr="00ED44B0" w:rsidRDefault="009154BB" w:rsidP="00B520E4">
      <w:pPr>
        <w:widowControl/>
        <w:rPr>
          <w:rFonts w:cs="Arial"/>
          <w:iCs/>
          <w:szCs w:val="22"/>
          <w:lang w:bidi="ar-SA"/>
        </w:rPr>
      </w:pPr>
    </w:p>
    <w:p w14:paraId="251432D2" w14:textId="7CDEBC65" w:rsidR="00B520E4" w:rsidRPr="00ED44B0" w:rsidRDefault="00B520E4" w:rsidP="00B520E4">
      <w:pPr>
        <w:pStyle w:val="FSBullet1"/>
      </w:pPr>
      <w:r w:rsidRPr="00ED44B0">
        <w:t xml:space="preserve">Review the available data on the toxicology of </w:t>
      </w:r>
      <w:r>
        <w:t xml:space="preserve">triacylglycerol lipase from </w:t>
      </w:r>
      <w:r w:rsidR="00A94F9D">
        <w:rPr>
          <w:i/>
        </w:rPr>
        <w:t>C.</w:t>
      </w:r>
      <w:r w:rsidRPr="00B520E4">
        <w:rPr>
          <w:i/>
        </w:rPr>
        <w:t xml:space="preserve"> </w:t>
      </w:r>
      <w:proofErr w:type="spellStart"/>
      <w:r w:rsidRPr="00B520E4">
        <w:rPr>
          <w:i/>
        </w:rPr>
        <w:t>cylindracea</w:t>
      </w:r>
      <w:proofErr w:type="spellEnd"/>
      <w:r w:rsidRPr="00ED44B0">
        <w:t xml:space="preserve"> to determine its safety as a food </w:t>
      </w:r>
      <w:r>
        <w:t>processing aid</w:t>
      </w:r>
      <w:r w:rsidR="00EC40E9">
        <w:t>,</w:t>
      </w:r>
      <w:r w:rsidRPr="00ED44B0">
        <w:t xml:space="preserve"> and </w:t>
      </w:r>
    </w:p>
    <w:p w14:paraId="12EE5C96" w14:textId="386462F6" w:rsidR="00B520E4" w:rsidRPr="00ED44B0" w:rsidRDefault="00B520E4" w:rsidP="00B520E4">
      <w:pPr>
        <w:pStyle w:val="FSBullet1"/>
      </w:pPr>
      <w:r w:rsidRPr="00ED44B0">
        <w:lastRenderedPageBreak/>
        <w:t xml:space="preserve">If appropriate, establish a health-based guidance value. </w:t>
      </w:r>
    </w:p>
    <w:p w14:paraId="43BC66E1" w14:textId="7D87B6AA" w:rsidR="00814242" w:rsidRDefault="009D534F" w:rsidP="00962071">
      <w:pPr>
        <w:pStyle w:val="Heading2"/>
      </w:pPr>
      <w:bookmarkStart w:id="27" w:name="_Toc485991975"/>
      <w:r>
        <w:t>3.2</w:t>
      </w:r>
      <w:r>
        <w:tab/>
      </w:r>
      <w:r w:rsidR="00B520E4">
        <w:t>Hazard of the production organism</w:t>
      </w:r>
      <w:bookmarkEnd w:id="27"/>
    </w:p>
    <w:p w14:paraId="556F1753" w14:textId="77777777" w:rsidR="00912FB4" w:rsidRDefault="00A94F9D" w:rsidP="00A94F9D">
      <w:pPr>
        <w:rPr>
          <w:lang w:bidi="ar-SA"/>
        </w:rPr>
      </w:pPr>
      <w:r w:rsidRPr="00A94F9D">
        <w:rPr>
          <w:i/>
          <w:lang w:bidi="ar-SA"/>
        </w:rPr>
        <w:t xml:space="preserve">C. </w:t>
      </w:r>
      <w:proofErr w:type="spellStart"/>
      <w:r w:rsidRPr="00A94F9D">
        <w:rPr>
          <w:i/>
          <w:lang w:bidi="ar-SA"/>
        </w:rPr>
        <w:t>cylindracea</w:t>
      </w:r>
      <w:proofErr w:type="spellEnd"/>
      <w:r w:rsidRPr="00A94F9D">
        <w:rPr>
          <w:lang w:bidi="ar-SA"/>
        </w:rPr>
        <w:t xml:space="preserve"> has been used for a long time in</w:t>
      </w:r>
      <w:r w:rsidR="00714EE1">
        <w:rPr>
          <w:lang w:bidi="ar-SA"/>
        </w:rPr>
        <w:t xml:space="preserve"> the </w:t>
      </w:r>
      <w:r w:rsidR="00714EE1">
        <w:rPr>
          <w:lang w:eastAsia="en-AU" w:bidi="ar-SA"/>
        </w:rPr>
        <w:t>biomedical, cosmetic, detergent and food industries,</w:t>
      </w:r>
      <w:r w:rsidRPr="00A94F9D">
        <w:rPr>
          <w:lang w:bidi="ar-SA"/>
        </w:rPr>
        <w:t xml:space="preserve"> as a lipase producer</w:t>
      </w:r>
      <w:r>
        <w:rPr>
          <w:lang w:bidi="ar-SA"/>
        </w:rPr>
        <w:t xml:space="preserve">. </w:t>
      </w:r>
    </w:p>
    <w:p w14:paraId="760D6EB3" w14:textId="77777777" w:rsidR="00912FB4" w:rsidRDefault="00912FB4" w:rsidP="00A94F9D">
      <w:pPr>
        <w:rPr>
          <w:lang w:bidi="ar-SA"/>
        </w:rPr>
      </w:pPr>
    </w:p>
    <w:p w14:paraId="085C5915" w14:textId="23B78750" w:rsidR="006C753D" w:rsidRDefault="00912FB4" w:rsidP="00A94F9D">
      <w:pPr>
        <w:rPr>
          <w:lang w:bidi="ar-SA"/>
        </w:rPr>
      </w:pPr>
      <w:r w:rsidRPr="00657A86">
        <w:rPr>
          <w:i/>
          <w:lang w:bidi="ar-SA"/>
        </w:rPr>
        <w:t xml:space="preserve">C. </w:t>
      </w:r>
      <w:proofErr w:type="spellStart"/>
      <w:r w:rsidRPr="00657A86">
        <w:rPr>
          <w:i/>
          <w:lang w:bidi="ar-SA"/>
        </w:rPr>
        <w:t>cylindracea</w:t>
      </w:r>
      <w:proofErr w:type="spellEnd"/>
      <w:r w:rsidRPr="00912FB4">
        <w:rPr>
          <w:lang w:bidi="ar-SA"/>
        </w:rPr>
        <w:t xml:space="preserve"> is not known to be pathogenic or toxigenic, and a search of the available scientific literature did not identify any animal studies or clinical reports that suggest a potential safety concern.</w:t>
      </w:r>
      <w:r w:rsidR="00657A86">
        <w:rPr>
          <w:lang w:bidi="ar-SA"/>
        </w:rPr>
        <w:t xml:space="preserve"> </w:t>
      </w:r>
      <w:r w:rsidR="00A94F9D" w:rsidRPr="00A94F9D">
        <w:rPr>
          <w:lang w:bidi="ar-SA"/>
        </w:rPr>
        <w:t xml:space="preserve">The </w:t>
      </w:r>
      <w:proofErr w:type="spellStart"/>
      <w:r w:rsidR="00A94F9D" w:rsidRPr="00A94F9D">
        <w:rPr>
          <w:lang w:bidi="ar-SA"/>
        </w:rPr>
        <w:t>Ogataea</w:t>
      </w:r>
      <w:proofErr w:type="spellEnd"/>
      <w:r w:rsidR="00A94F9D" w:rsidRPr="00A94F9D">
        <w:rPr>
          <w:lang w:bidi="ar-SA"/>
        </w:rPr>
        <w:t xml:space="preserve"> clade to which it belongs does not include pathogenic yeast</w:t>
      </w:r>
      <w:r w:rsidR="00D9141F">
        <w:rPr>
          <w:lang w:bidi="ar-SA"/>
        </w:rPr>
        <w:t>s</w:t>
      </w:r>
      <w:r w:rsidR="00A94F9D">
        <w:rPr>
          <w:lang w:bidi="ar-SA"/>
        </w:rPr>
        <w:t xml:space="preserve"> associated with human infections</w:t>
      </w:r>
      <w:r w:rsidR="00A94F9D">
        <w:rPr>
          <w:i/>
          <w:lang w:bidi="ar-SA"/>
        </w:rPr>
        <w:t xml:space="preserve"> </w:t>
      </w:r>
      <w:r w:rsidR="00A94F9D" w:rsidRPr="00A94F9D">
        <w:rPr>
          <w:lang w:bidi="ar-SA"/>
        </w:rPr>
        <w:t>(</w:t>
      </w:r>
      <w:r w:rsidR="00194838">
        <w:rPr>
          <w:lang w:bidi="ar-SA"/>
        </w:rPr>
        <w:t xml:space="preserve">EFSA 2014; </w:t>
      </w:r>
      <w:r w:rsidR="00A94F9D" w:rsidRPr="00A94F9D">
        <w:rPr>
          <w:lang w:bidi="ar-SA"/>
        </w:rPr>
        <w:t>EFSA 2017)</w:t>
      </w:r>
      <w:r w:rsidR="00A94F9D">
        <w:rPr>
          <w:lang w:bidi="ar-SA"/>
        </w:rPr>
        <w:t xml:space="preserve">. </w:t>
      </w:r>
      <w:r w:rsidR="000223DA">
        <w:rPr>
          <w:lang w:bidi="ar-SA"/>
        </w:rPr>
        <w:t xml:space="preserve">As </w:t>
      </w:r>
      <w:r w:rsidR="000223DA" w:rsidRPr="000223DA">
        <w:rPr>
          <w:i/>
          <w:lang w:bidi="ar-SA"/>
        </w:rPr>
        <w:t xml:space="preserve">C. </w:t>
      </w:r>
      <w:proofErr w:type="spellStart"/>
      <w:r w:rsidR="000223DA" w:rsidRPr="000223DA">
        <w:rPr>
          <w:i/>
          <w:lang w:bidi="ar-SA"/>
        </w:rPr>
        <w:t>cylindracea</w:t>
      </w:r>
      <w:proofErr w:type="spellEnd"/>
      <w:r w:rsidR="000223DA">
        <w:rPr>
          <w:lang w:bidi="ar-SA"/>
        </w:rPr>
        <w:t xml:space="preserve"> is </w:t>
      </w:r>
      <w:proofErr w:type="gramStart"/>
      <w:r w:rsidR="000223DA">
        <w:rPr>
          <w:lang w:bidi="ar-SA"/>
        </w:rPr>
        <w:t>a yeast</w:t>
      </w:r>
      <w:proofErr w:type="gramEnd"/>
      <w:r w:rsidR="000223DA">
        <w:rPr>
          <w:lang w:bidi="ar-SA"/>
        </w:rPr>
        <w:t xml:space="preserve"> it does not produce mycotoxins.</w:t>
      </w:r>
      <w:r w:rsidR="00A94F9D">
        <w:rPr>
          <w:lang w:bidi="ar-SA"/>
        </w:rPr>
        <w:t xml:space="preserve"> </w:t>
      </w:r>
    </w:p>
    <w:p w14:paraId="6E371F60" w14:textId="77777777" w:rsidR="006C753D" w:rsidRDefault="006C753D" w:rsidP="00A94F9D">
      <w:pPr>
        <w:rPr>
          <w:lang w:bidi="ar-SA"/>
        </w:rPr>
      </w:pPr>
    </w:p>
    <w:p w14:paraId="39F52167" w14:textId="59D22736" w:rsidR="00A94F9D" w:rsidRPr="004E073B" w:rsidRDefault="00ED100C" w:rsidP="00A94F9D">
      <w:pPr>
        <w:rPr>
          <w:lang w:bidi="ar-SA"/>
        </w:rPr>
      </w:pPr>
      <w:r>
        <w:rPr>
          <w:lang w:bidi="ar-SA"/>
        </w:rPr>
        <w:t xml:space="preserve">The European Food Safety Authority (EFSA) has recommended qualified presumption of safety (QPS) status for </w:t>
      </w:r>
      <w:r w:rsidRPr="00ED100C">
        <w:rPr>
          <w:i/>
          <w:lang w:bidi="ar-SA"/>
        </w:rPr>
        <w:t xml:space="preserve">C. </w:t>
      </w:r>
      <w:proofErr w:type="spellStart"/>
      <w:r w:rsidRPr="00ED100C">
        <w:rPr>
          <w:i/>
          <w:lang w:bidi="ar-SA"/>
        </w:rPr>
        <w:t>cylindracea</w:t>
      </w:r>
      <w:proofErr w:type="spellEnd"/>
      <w:r>
        <w:rPr>
          <w:lang w:bidi="ar-SA"/>
        </w:rPr>
        <w:t xml:space="preserve"> when used for the production of enzymes (</w:t>
      </w:r>
      <w:r w:rsidR="00194838">
        <w:rPr>
          <w:lang w:bidi="ar-SA"/>
        </w:rPr>
        <w:t xml:space="preserve">EFSA 2014; </w:t>
      </w:r>
      <w:r>
        <w:rPr>
          <w:lang w:bidi="ar-SA"/>
        </w:rPr>
        <w:t xml:space="preserve">EFSA 2017). </w:t>
      </w:r>
    </w:p>
    <w:p w14:paraId="43BC66EC" w14:textId="6B9037F4" w:rsidR="00814242" w:rsidRDefault="00FE6001" w:rsidP="00962071">
      <w:pPr>
        <w:pStyle w:val="Heading2"/>
      </w:pPr>
      <w:bookmarkStart w:id="28" w:name="_Toc485991976"/>
      <w:r>
        <w:t>3.3</w:t>
      </w:r>
      <w:r>
        <w:tab/>
      </w:r>
      <w:r w:rsidR="002F5743" w:rsidRPr="00DD04BE">
        <w:t>Hazard of the enzyme</w:t>
      </w:r>
      <w:bookmarkEnd w:id="28"/>
      <w:r w:rsidR="002F5743" w:rsidRPr="00DD04BE">
        <w:t xml:space="preserve"> </w:t>
      </w:r>
    </w:p>
    <w:p w14:paraId="43BC66F3" w14:textId="3526BDC6" w:rsidR="00814242" w:rsidRDefault="00814242" w:rsidP="007B2E24">
      <w:pPr>
        <w:pStyle w:val="Heading3"/>
      </w:pPr>
      <w:bookmarkStart w:id="29" w:name="_Toc485991977"/>
      <w:r w:rsidRPr="00FE6001">
        <w:t>3.3.</w:t>
      </w:r>
      <w:r w:rsidR="007B2E24">
        <w:t>1</w:t>
      </w:r>
      <w:r w:rsidR="007B2E24">
        <w:tab/>
      </w:r>
      <w:r w:rsidR="003506C9" w:rsidRPr="00A0503F">
        <w:t>Use of the enzyme as a food processing aid in other countries</w:t>
      </w:r>
      <w:bookmarkEnd w:id="29"/>
    </w:p>
    <w:p w14:paraId="11F5CF94" w14:textId="33D58DD9" w:rsidR="003506C9" w:rsidRPr="004E073B" w:rsidRDefault="00912FB4" w:rsidP="004E073B">
      <w:pPr>
        <w:rPr>
          <w:lang w:eastAsia="en-AU" w:bidi="ar-SA"/>
        </w:rPr>
      </w:pPr>
      <w:r>
        <w:rPr>
          <w:lang w:eastAsia="en-AU" w:bidi="ar-SA"/>
        </w:rPr>
        <w:t>There is evidence that t</w:t>
      </w:r>
      <w:r w:rsidR="003506C9">
        <w:rPr>
          <w:lang w:eastAsia="en-AU" w:bidi="ar-SA"/>
        </w:rPr>
        <w:t xml:space="preserve">riacylglycerol lipase from </w:t>
      </w:r>
      <w:r w:rsidR="003506C9" w:rsidRPr="003506C9">
        <w:rPr>
          <w:i/>
          <w:lang w:eastAsia="en-AU" w:bidi="ar-SA"/>
        </w:rPr>
        <w:t xml:space="preserve">C. </w:t>
      </w:r>
      <w:proofErr w:type="spellStart"/>
      <w:r w:rsidR="003506C9" w:rsidRPr="003506C9">
        <w:rPr>
          <w:i/>
          <w:lang w:eastAsia="en-AU" w:bidi="ar-SA"/>
        </w:rPr>
        <w:t>cylindracea</w:t>
      </w:r>
      <w:proofErr w:type="spellEnd"/>
      <w:r w:rsidR="003506C9">
        <w:rPr>
          <w:lang w:eastAsia="en-AU" w:bidi="ar-SA"/>
        </w:rPr>
        <w:t xml:space="preserve"> has been used in Japan for many years in food processing</w:t>
      </w:r>
      <w:r w:rsidR="003F5F60">
        <w:rPr>
          <w:lang w:eastAsia="en-AU" w:bidi="ar-SA"/>
        </w:rPr>
        <w:t xml:space="preserve"> (Arnold et al 1975)</w:t>
      </w:r>
      <w:r w:rsidR="006C753D">
        <w:rPr>
          <w:lang w:eastAsia="en-AU" w:bidi="ar-SA"/>
        </w:rPr>
        <w:t xml:space="preserve"> and </w:t>
      </w:r>
      <w:r>
        <w:rPr>
          <w:lang w:eastAsia="en-AU" w:bidi="ar-SA"/>
        </w:rPr>
        <w:t xml:space="preserve">it </w:t>
      </w:r>
      <w:r w:rsidR="003506C9">
        <w:rPr>
          <w:lang w:eastAsia="en-AU" w:bidi="ar-SA"/>
        </w:rPr>
        <w:t xml:space="preserve">is also permitted as a food additive that may </w:t>
      </w:r>
      <w:r w:rsidR="00435346">
        <w:rPr>
          <w:lang w:eastAsia="en-AU" w:bidi="ar-SA"/>
        </w:rPr>
        <w:t xml:space="preserve">include its </w:t>
      </w:r>
      <w:r w:rsidR="003506C9">
        <w:rPr>
          <w:lang w:eastAsia="en-AU" w:bidi="ar-SA"/>
        </w:rPr>
        <w:t xml:space="preserve">use as a food enzyme in China. </w:t>
      </w:r>
    </w:p>
    <w:p w14:paraId="43BC66FD" w14:textId="7CD02FDA" w:rsidR="00814242" w:rsidRDefault="00F34D33" w:rsidP="00962071">
      <w:pPr>
        <w:pStyle w:val="Heading2"/>
      </w:pPr>
      <w:bookmarkStart w:id="30" w:name="_Toc485991978"/>
      <w:r w:rsidRPr="00F34D33">
        <w:t>3.4</w:t>
      </w:r>
      <w:r w:rsidRPr="00F34D33">
        <w:tab/>
      </w:r>
      <w:r w:rsidR="00814242" w:rsidRPr="00F34D33">
        <w:t>Evaluation of toxicity studies of the enzyme product</w:t>
      </w:r>
      <w:bookmarkEnd w:id="30"/>
    </w:p>
    <w:p w14:paraId="43BC66FE" w14:textId="1DCEE8E3" w:rsidR="000B0FA3" w:rsidRDefault="007B2E24" w:rsidP="007B2E24">
      <w:pPr>
        <w:pStyle w:val="Heading3"/>
      </w:pPr>
      <w:bookmarkStart w:id="31" w:name="_Toc485991979"/>
      <w:r>
        <w:t>3.4.1</w:t>
      </w:r>
      <w:r>
        <w:tab/>
      </w:r>
      <w:r w:rsidR="003506C9">
        <w:t>Genotoxicity</w:t>
      </w:r>
      <w:bookmarkEnd w:id="31"/>
    </w:p>
    <w:p w14:paraId="7B59576E" w14:textId="22063F32" w:rsidR="004E073B" w:rsidRDefault="009260FB" w:rsidP="004E073B">
      <w:pPr>
        <w:rPr>
          <w:lang w:eastAsia="en-AU" w:bidi="ar-SA"/>
        </w:rPr>
      </w:pPr>
      <w:r>
        <w:rPr>
          <w:lang w:eastAsia="en-AU" w:bidi="ar-SA"/>
        </w:rPr>
        <w:t xml:space="preserve">Two genotoxicity studies were submitted by the </w:t>
      </w:r>
      <w:r w:rsidR="005D3046">
        <w:rPr>
          <w:lang w:eastAsia="en-AU" w:bidi="ar-SA"/>
        </w:rPr>
        <w:t>A</w:t>
      </w:r>
      <w:r>
        <w:rPr>
          <w:lang w:eastAsia="en-AU" w:bidi="ar-SA"/>
        </w:rPr>
        <w:t xml:space="preserve">pplicant, a bacterial reverse mutation assay and a chromosomal aberration assay in </w:t>
      </w:r>
      <w:r w:rsidR="009154BB">
        <w:rPr>
          <w:lang w:eastAsia="en-AU" w:bidi="ar-SA"/>
        </w:rPr>
        <w:t>mammalian</w:t>
      </w:r>
      <w:r>
        <w:rPr>
          <w:lang w:eastAsia="en-AU" w:bidi="ar-SA"/>
        </w:rPr>
        <w:t xml:space="preserve"> cells. </w:t>
      </w:r>
      <w:r w:rsidR="00F14E5E">
        <w:rPr>
          <w:lang w:eastAsia="en-AU" w:bidi="ar-SA"/>
        </w:rPr>
        <w:t xml:space="preserve">The test article, lipase liquid concentrate, is a material obtained after concentration from normal commercial production. </w:t>
      </w:r>
      <w:r w:rsidR="0080677D">
        <w:rPr>
          <w:lang w:eastAsia="en-AU" w:bidi="ar-SA"/>
        </w:rPr>
        <w:t>This concentrate</w:t>
      </w:r>
      <w:r w:rsidR="009154BB">
        <w:rPr>
          <w:lang w:eastAsia="en-AU" w:bidi="ar-SA"/>
        </w:rPr>
        <w:t xml:space="preserve"> does</w:t>
      </w:r>
      <w:r w:rsidR="00F14E5E">
        <w:rPr>
          <w:lang w:eastAsia="en-AU" w:bidi="ar-SA"/>
        </w:rPr>
        <w:t xml:space="preserve"> not </w:t>
      </w:r>
      <w:r w:rsidR="0080677D">
        <w:rPr>
          <w:lang w:eastAsia="en-AU" w:bidi="ar-SA"/>
        </w:rPr>
        <w:t xml:space="preserve">include the spray </w:t>
      </w:r>
      <w:r w:rsidR="008E4833">
        <w:rPr>
          <w:lang w:eastAsia="en-AU" w:bidi="ar-SA"/>
        </w:rPr>
        <w:t>auxiliary</w:t>
      </w:r>
      <w:r w:rsidR="0080677D">
        <w:rPr>
          <w:lang w:eastAsia="en-AU" w:bidi="ar-SA"/>
        </w:rPr>
        <w:t xml:space="preserve"> agents (</w:t>
      </w:r>
      <w:r w:rsidR="00F14E5E">
        <w:rPr>
          <w:lang w:eastAsia="en-AU" w:bidi="ar-SA"/>
        </w:rPr>
        <w:t>the diluent or the stabiliser</w:t>
      </w:r>
      <w:r w:rsidR="0080677D">
        <w:rPr>
          <w:lang w:eastAsia="en-AU" w:bidi="ar-SA"/>
        </w:rPr>
        <w:t>)</w:t>
      </w:r>
      <w:r w:rsidR="00F14E5E">
        <w:rPr>
          <w:lang w:eastAsia="en-AU" w:bidi="ar-SA"/>
        </w:rPr>
        <w:t xml:space="preserve">. </w:t>
      </w:r>
    </w:p>
    <w:p w14:paraId="10F9C478" w14:textId="36F87A3F" w:rsidR="009260FB" w:rsidRDefault="00C53BA9" w:rsidP="00904469">
      <w:pPr>
        <w:pStyle w:val="Heading4"/>
        <w:ind w:left="0" w:firstLine="0"/>
        <w:rPr>
          <w:lang w:eastAsia="en-AU"/>
        </w:rPr>
      </w:pPr>
      <w:r>
        <w:rPr>
          <w:lang w:eastAsia="en-AU"/>
        </w:rPr>
        <w:t>A b</w:t>
      </w:r>
      <w:r w:rsidR="009260FB" w:rsidRPr="002A3757">
        <w:rPr>
          <w:lang w:eastAsia="en-AU"/>
        </w:rPr>
        <w:t>acterial reverse mutation assay</w:t>
      </w:r>
      <w:r>
        <w:rPr>
          <w:lang w:eastAsia="en-AU"/>
        </w:rPr>
        <w:t xml:space="preserve"> of lipase </w:t>
      </w:r>
      <w:proofErr w:type="spellStart"/>
      <w:r>
        <w:rPr>
          <w:lang w:eastAsia="en-AU"/>
        </w:rPr>
        <w:t>conc</w:t>
      </w:r>
      <w:proofErr w:type="spellEnd"/>
      <w:r>
        <w:rPr>
          <w:lang w:eastAsia="en-AU"/>
        </w:rPr>
        <w:t xml:space="preserve"> (Candida </w:t>
      </w:r>
      <w:proofErr w:type="spellStart"/>
      <w:r>
        <w:rPr>
          <w:lang w:eastAsia="en-AU"/>
        </w:rPr>
        <w:t>cylindracea</w:t>
      </w:r>
      <w:proofErr w:type="spellEnd"/>
      <w:r>
        <w:rPr>
          <w:lang w:eastAsia="en-AU"/>
        </w:rPr>
        <w:t>)</w:t>
      </w:r>
      <w:r w:rsidR="009260FB" w:rsidRPr="002A3757">
        <w:rPr>
          <w:lang w:eastAsia="en-AU"/>
        </w:rPr>
        <w:t xml:space="preserve"> – </w:t>
      </w:r>
      <w:r w:rsidR="009260FB">
        <w:rPr>
          <w:lang w:eastAsia="en-AU"/>
        </w:rPr>
        <w:t xml:space="preserve">Oguma (Study Director); Bozo Research </w:t>
      </w:r>
      <w:proofErr w:type="spellStart"/>
      <w:r w:rsidR="009260FB">
        <w:rPr>
          <w:lang w:eastAsia="en-AU"/>
        </w:rPr>
        <w:t>Center</w:t>
      </w:r>
      <w:proofErr w:type="spellEnd"/>
      <w:r w:rsidR="009260FB">
        <w:rPr>
          <w:lang w:eastAsia="en-AU"/>
        </w:rPr>
        <w:t xml:space="preserve"> </w:t>
      </w:r>
      <w:r w:rsidR="009260FB" w:rsidRPr="002A3757">
        <w:rPr>
          <w:lang w:eastAsia="en-AU"/>
        </w:rPr>
        <w:t xml:space="preserve">study </w:t>
      </w:r>
      <w:r w:rsidR="009260FB">
        <w:rPr>
          <w:lang w:eastAsia="en-AU"/>
        </w:rPr>
        <w:t>number T-1056 (2012)</w:t>
      </w:r>
    </w:p>
    <w:p w14:paraId="4FBF9F3F" w14:textId="3E4DA3A6" w:rsidR="009C48C9" w:rsidRDefault="00513789" w:rsidP="004E073B">
      <w:pPr>
        <w:rPr>
          <w:lang w:eastAsia="en-AU" w:bidi="ar-SA"/>
        </w:rPr>
      </w:pPr>
      <w:r>
        <w:rPr>
          <w:lang w:eastAsia="en-AU" w:bidi="ar-SA"/>
        </w:rPr>
        <w:t>The study was conducted in compliance with the Ministry of Health and Welfare</w:t>
      </w:r>
      <w:r w:rsidR="00C9080E">
        <w:rPr>
          <w:lang w:eastAsia="en-AU" w:bidi="ar-SA"/>
        </w:rPr>
        <w:t xml:space="preserve"> </w:t>
      </w:r>
      <w:r>
        <w:rPr>
          <w:lang w:eastAsia="en-AU" w:bidi="ar-SA"/>
        </w:rPr>
        <w:t>of Japan</w:t>
      </w:r>
      <w:r w:rsidR="00C9080E">
        <w:rPr>
          <w:lang w:eastAsia="en-AU" w:bidi="ar-SA"/>
        </w:rPr>
        <w:t xml:space="preserve"> (JMHW) Ordinance on Standard for Conduct of Non-Clinical Studies on Safety of Drugs, as well as the JMHW G</w:t>
      </w:r>
      <w:r>
        <w:rPr>
          <w:lang w:eastAsia="en-AU" w:bidi="ar-SA"/>
        </w:rPr>
        <w:t xml:space="preserve">uidelines on </w:t>
      </w:r>
      <w:r w:rsidR="00C9080E">
        <w:rPr>
          <w:lang w:eastAsia="en-AU" w:bidi="ar-SA"/>
        </w:rPr>
        <w:t>G</w:t>
      </w:r>
      <w:r>
        <w:rPr>
          <w:lang w:eastAsia="en-AU" w:bidi="ar-SA"/>
        </w:rPr>
        <w:t xml:space="preserve">enotoxicity </w:t>
      </w:r>
      <w:r w:rsidR="00C9080E">
        <w:rPr>
          <w:lang w:eastAsia="en-AU" w:bidi="ar-SA"/>
        </w:rPr>
        <w:t>T</w:t>
      </w:r>
      <w:r>
        <w:rPr>
          <w:lang w:eastAsia="en-AU" w:bidi="ar-SA"/>
        </w:rPr>
        <w:t xml:space="preserve">esting of </w:t>
      </w:r>
      <w:r w:rsidR="00C9080E">
        <w:rPr>
          <w:lang w:eastAsia="en-AU" w:bidi="ar-SA"/>
        </w:rPr>
        <w:t>P</w:t>
      </w:r>
      <w:r>
        <w:rPr>
          <w:lang w:eastAsia="en-AU" w:bidi="ar-SA"/>
        </w:rPr>
        <w:t xml:space="preserve">harmaceuticals. The test material was a liquid lipase concentrate with an enzyme activity level </w:t>
      </w:r>
      <w:proofErr w:type="gramStart"/>
      <w:r>
        <w:rPr>
          <w:lang w:eastAsia="en-AU" w:bidi="ar-SA"/>
        </w:rPr>
        <w:t xml:space="preserve">of 71,000 </w:t>
      </w:r>
      <w:r>
        <w:rPr>
          <w:rFonts w:cs="Arial"/>
          <w:lang w:eastAsia="en-AU" w:bidi="ar-SA"/>
        </w:rPr>
        <w:t>µ</w:t>
      </w:r>
      <w:r>
        <w:rPr>
          <w:lang w:eastAsia="en-AU" w:bidi="ar-SA"/>
        </w:rPr>
        <w:t>/</w:t>
      </w:r>
      <w:proofErr w:type="spellStart"/>
      <w:r>
        <w:rPr>
          <w:lang w:eastAsia="en-AU" w:bidi="ar-SA"/>
        </w:rPr>
        <w:t>m</w:t>
      </w:r>
      <w:r w:rsidR="0087045E">
        <w:rPr>
          <w:lang w:eastAsia="en-AU" w:bidi="ar-SA"/>
        </w:rPr>
        <w:t>L</w:t>
      </w:r>
      <w:proofErr w:type="gramEnd"/>
      <w:r>
        <w:rPr>
          <w:lang w:eastAsia="en-AU" w:bidi="ar-SA"/>
        </w:rPr>
        <w:t>.</w:t>
      </w:r>
      <w:proofErr w:type="spellEnd"/>
      <w:r>
        <w:rPr>
          <w:lang w:eastAsia="en-AU" w:bidi="ar-SA"/>
        </w:rPr>
        <w:t xml:space="preserve"> Water was used as the vehicle. </w:t>
      </w:r>
    </w:p>
    <w:p w14:paraId="562CE7CC" w14:textId="77777777" w:rsidR="009C48C9" w:rsidRDefault="009C48C9" w:rsidP="004E073B">
      <w:pPr>
        <w:rPr>
          <w:lang w:eastAsia="en-AU" w:bidi="ar-SA"/>
        </w:rPr>
      </w:pPr>
    </w:p>
    <w:p w14:paraId="06BBC2F0" w14:textId="64B32007" w:rsidR="00C455AA" w:rsidRDefault="00513789" w:rsidP="004E073B">
      <w:pPr>
        <w:rPr>
          <w:lang w:eastAsia="en-AU" w:bidi="ar-SA"/>
        </w:rPr>
      </w:pPr>
      <w:r>
        <w:rPr>
          <w:lang w:eastAsia="en-AU" w:bidi="ar-SA"/>
        </w:rPr>
        <w:t xml:space="preserve">Tester strains were the </w:t>
      </w:r>
      <w:r w:rsidRPr="00D807ED">
        <w:rPr>
          <w:i/>
          <w:lang w:eastAsia="en-AU" w:bidi="ar-SA"/>
        </w:rPr>
        <w:t>Salmonella typhimurium</w:t>
      </w:r>
      <w:r>
        <w:rPr>
          <w:lang w:eastAsia="en-AU" w:bidi="ar-SA"/>
        </w:rPr>
        <w:t xml:space="preserve"> strains TA98, TA100, TA1535 and TA1537</w:t>
      </w:r>
      <w:r w:rsidR="003B417C">
        <w:rPr>
          <w:lang w:eastAsia="en-AU" w:bidi="ar-SA"/>
        </w:rPr>
        <w:t>,</w:t>
      </w:r>
      <w:r>
        <w:rPr>
          <w:lang w:eastAsia="en-AU" w:bidi="ar-SA"/>
        </w:rPr>
        <w:t xml:space="preserve"> plus </w:t>
      </w:r>
      <w:r w:rsidR="001D12F1" w:rsidRPr="00513789">
        <w:rPr>
          <w:i/>
          <w:lang w:eastAsia="en-AU" w:bidi="ar-SA"/>
        </w:rPr>
        <w:t>Escherichia</w:t>
      </w:r>
      <w:r w:rsidRPr="00513789">
        <w:rPr>
          <w:i/>
          <w:lang w:eastAsia="en-AU" w:bidi="ar-SA"/>
        </w:rPr>
        <w:t xml:space="preserve"> coli</w:t>
      </w:r>
      <w:r>
        <w:rPr>
          <w:lang w:eastAsia="en-AU" w:bidi="ar-SA"/>
        </w:rPr>
        <w:t xml:space="preserve"> WP2 </w:t>
      </w:r>
      <w:proofErr w:type="spellStart"/>
      <w:r w:rsidRPr="00513789">
        <w:rPr>
          <w:u w:val="single"/>
          <w:lang w:eastAsia="en-AU" w:bidi="ar-SA"/>
        </w:rPr>
        <w:t>uvrA</w:t>
      </w:r>
      <w:proofErr w:type="spellEnd"/>
      <w:r>
        <w:rPr>
          <w:lang w:eastAsia="en-AU" w:bidi="ar-SA"/>
        </w:rPr>
        <w:t xml:space="preserve">. </w:t>
      </w:r>
      <w:r w:rsidR="004610F8">
        <w:rPr>
          <w:lang w:eastAsia="en-AU" w:bidi="ar-SA"/>
        </w:rPr>
        <w:t xml:space="preserve">Based on the findings of a dose range finding </w:t>
      </w:r>
      <w:r w:rsidR="003B417C">
        <w:rPr>
          <w:lang w:eastAsia="en-AU" w:bidi="ar-SA"/>
        </w:rPr>
        <w:t>study</w:t>
      </w:r>
      <w:r w:rsidR="004610F8">
        <w:rPr>
          <w:lang w:eastAsia="en-AU" w:bidi="ar-SA"/>
        </w:rPr>
        <w:t xml:space="preserve"> five test article concentrations were used in the main study: 100, 50, 25</w:t>
      </w:r>
      <w:r w:rsidR="00911F12">
        <w:rPr>
          <w:lang w:eastAsia="en-AU" w:bidi="ar-SA"/>
        </w:rPr>
        <w:t>, 12.5 and 6.25 % solution (0.1 mL/plate)</w:t>
      </w:r>
      <w:r w:rsidR="004610F8">
        <w:rPr>
          <w:lang w:eastAsia="en-AU" w:bidi="ar-SA"/>
        </w:rPr>
        <w:t xml:space="preserve">. The test was conducted by the </w:t>
      </w:r>
      <w:proofErr w:type="spellStart"/>
      <w:r w:rsidR="004610F8">
        <w:rPr>
          <w:lang w:eastAsia="en-AU" w:bidi="ar-SA"/>
        </w:rPr>
        <w:t>preincubation</w:t>
      </w:r>
      <w:proofErr w:type="spellEnd"/>
      <w:r w:rsidR="004610F8">
        <w:rPr>
          <w:lang w:eastAsia="en-AU" w:bidi="ar-SA"/>
        </w:rPr>
        <w:t xml:space="preserve"> method with and without metabolic activation. The criteria for a positive response were a two-fold increase in the reversion rate over that of the negative control, and demonstration of a dose-response. </w:t>
      </w:r>
    </w:p>
    <w:p w14:paraId="45F4F69D" w14:textId="77777777" w:rsidR="00C455AA" w:rsidRDefault="00C455AA" w:rsidP="004E073B">
      <w:pPr>
        <w:rPr>
          <w:lang w:eastAsia="en-AU" w:bidi="ar-SA"/>
        </w:rPr>
      </w:pPr>
    </w:p>
    <w:p w14:paraId="7D518652" w14:textId="04329604" w:rsidR="009260FB" w:rsidRDefault="004610F8" w:rsidP="004E073B">
      <w:pPr>
        <w:rPr>
          <w:lang w:eastAsia="en-AU" w:bidi="ar-SA"/>
        </w:rPr>
      </w:pPr>
      <w:r>
        <w:rPr>
          <w:lang w:eastAsia="en-AU" w:bidi="ar-SA"/>
        </w:rPr>
        <w:t xml:space="preserve">All positive controls gave the expected mutagenic response, while no evidence of mutagenicity was observed with the test substance. It was concluded that </w:t>
      </w:r>
      <w:r w:rsidR="00A43B34">
        <w:rPr>
          <w:lang w:eastAsia="en-AU" w:bidi="ar-SA"/>
        </w:rPr>
        <w:t xml:space="preserve">the test article had no mutagenic activity under the conditions of the study. </w:t>
      </w:r>
    </w:p>
    <w:p w14:paraId="1E32A380" w14:textId="09F84DC4" w:rsidR="006C753D" w:rsidRDefault="006C753D" w:rsidP="004E073B">
      <w:pPr>
        <w:rPr>
          <w:lang w:eastAsia="en-AU" w:bidi="ar-SA"/>
        </w:rPr>
      </w:pPr>
    </w:p>
    <w:p w14:paraId="4B81D45A" w14:textId="7994C9ED" w:rsidR="00A43B34" w:rsidRDefault="00C53BA9" w:rsidP="00904469">
      <w:pPr>
        <w:pStyle w:val="Heading4"/>
        <w:ind w:left="0" w:firstLine="0"/>
        <w:rPr>
          <w:lang w:eastAsia="en-AU"/>
        </w:rPr>
      </w:pPr>
      <w:r>
        <w:rPr>
          <w:lang w:eastAsia="en-AU"/>
        </w:rPr>
        <w:lastRenderedPageBreak/>
        <w:t>Chromosome</w:t>
      </w:r>
      <w:r w:rsidR="00A43B34">
        <w:rPr>
          <w:lang w:eastAsia="en-AU"/>
        </w:rPr>
        <w:t xml:space="preserve"> aberration test</w:t>
      </w:r>
      <w:r>
        <w:rPr>
          <w:lang w:eastAsia="en-AU"/>
        </w:rPr>
        <w:t xml:space="preserve"> of lipase concentrate (Candida </w:t>
      </w:r>
      <w:proofErr w:type="spellStart"/>
      <w:r>
        <w:rPr>
          <w:lang w:eastAsia="en-AU"/>
        </w:rPr>
        <w:t>cylindracea</w:t>
      </w:r>
      <w:proofErr w:type="spellEnd"/>
      <w:r>
        <w:rPr>
          <w:lang w:eastAsia="en-AU"/>
        </w:rPr>
        <w:t>)</w:t>
      </w:r>
      <w:r w:rsidR="00A43B34">
        <w:rPr>
          <w:lang w:eastAsia="en-AU"/>
        </w:rPr>
        <w:t xml:space="preserve"> in cultured mammalian cells – Fujiwara (Study Director); Bozo Research </w:t>
      </w:r>
      <w:proofErr w:type="spellStart"/>
      <w:r w:rsidR="00A43B34">
        <w:rPr>
          <w:lang w:eastAsia="en-AU"/>
        </w:rPr>
        <w:t>Center</w:t>
      </w:r>
      <w:proofErr w:type="spellEnd"/>
      <w:r w:rsidR="00A43B34">
        <w:rPr>
          <w:lang w:eastAsia="en-AU"/>
        </w:rPr>
        <w:t xml:space="preserve"> study number T-G050 (2012)</w:t>
      </w:r>
    </w:p>
    <w:p w14:paraId="7B3B642D" w14:textId="0949C658" w:rsidR="009260FB" w:rsidRDefault="00C9080E" w:rsidP="004E073B">
      <w:pPr>
        <w:rPr>
          <w:lang w:eastAsia="en-AU" w:bidi="ar-SA"/>
        </w:rPr>
      </w:pPr>
      <w:r>
        <w:rPr>
          <w:lang w:eastAsia="en-AU" w:bidi="ar-SA"/>
        </w:rPr>
        <w:t xml:space="preserve">The study was conducted in compliance with the JMHW Ordinance on Standard for Conduct of Non-Clinical Studies on Safety of Drugs, as well as the JMHW Guidelines on Genotoxicity Testing of Pharmaceuticals. The test material was a liquid lipase concentrate with an enzyme activity level </w:t>
      </w:r>
      <w:proofErr w:type="gramStart"/>
      <w:r>
        <w:rPr>
          <w:lang w:eastAsia="en-AU" w:bidi="ar-SA"/>
        </w:rPr>
        <w:t xml:space="preserve">of 71,000 </w:t>
      </w:r>
      <w:r>
        <w:rPr>
          <w:rFonts w:cs="Arial"/>
          <w:lang w:eastAsia="en-AU" w:bidi="ar-SA"/>
        </w:rPr>
        <w:t>µ</w:t>
      </w:r>
      <w:r>
        <w:rPr>
          <w:lang w:eastAsia="en-AU" w:bidi="ar-SA"/>
        </w:rPr>
        <w:t>/</w:t>
      </w:r>
      <w:proofErr w:type="spellStart"/>
      <w:r>
        <w:rPr>
          <w:lang w:eastAsia="en-AU" w:bidi="ar-SA"/>
        </w:rPr>
        <w:t>m</w:t>
      </w:r>
      <w:r w:rsidR="00950A4E">
        <w:rPr>
          <w:lang w:eastAsia="en-AU" w:bidi="ar-SA"/>
        </w:rPr>
        <w:t>L</w:t>
      </w:r>
      <w:proofErr w:type="gramEnd"/>
      <w:r>
        <w:rPr>
          <w:lang w:eastAsia="en-AU" w:bidi="ar-SA"/>
        </w:rPr>
        <w:t>.</w:t>
      </w:r>
      <w:proofErr w:type="spellEnd"/>
      <w:r>
        <w:rPr>
          <w:lang w:eastAsia="en-AU" w:bidi="ar-SA"/>
        </w:rPr>
        <w:t xml:space="preserve"> </w:t>
      </w:r>
    </w:p>
    <w:p w14:paraId="450FDB54" w14:textId="79BD37BF" w:rsidR="005468F4" w:rsidRDefault="005468F4" w:rsidP="004E073B">
      <w:pPr>
        <w:rPr>
          <w:lang w:eastAsia="en-AU" w:bidi="ar-SA"/>
        </w:rPr>
      </w:pPr>
    </w:p>
    <w:p w14:paraId="6B10969E" w14:textId="5F910839" w:rsidR="005468F4" w:rsidRDefault="005468F4" w:rsidP="00A2672B">
      <w:pPr>
        <w:rPr>
          <w:lang w:eastAsia="en-AU" w:bidi="ar-SA"/>
        </w:rPr>
      </w:pPr>
      <w:r>
        <w:rPr>
          <w:lang w:eastAsia="en-AU" w:bidi="ar-SA"/>
        </w:rPr>
        <w:t>The test material was examined for its potential to induce structural</w:t>
      </w:r>
      <w:r w:rsidR="00D807ED">
        <w:rPr>
          <w:lang w:eastAsia="en-AU" w:bidi="ar-SA"/>
        </w:rPr>
        <w:t xml:space="preserve"> </w:t>
      </w:r>
      <w:r>
        <w:rPr>
          <w:lang w:eastAsia="en-AU" w:bidi="ar-SA"/>
        </w:rPr>
        <w:t>chromoso</w:t>
      </w:r>
      <w:r w:rsidR="005A32E6">
        <w:rPr>
          <w:lang w:eastAsia="en-AU" w:bidi="ar-SA"/>
        </w:rPr>
        <w:t>me</w:t>
      </w:r>
      <w:r>
        <w:rPr>
          <w:lang w:eastAsia="en-AU" w:bidi="ar-SA"/>
        </w:rPr>
        <w:t xml:space="preserve"> aberrations in</w:t>
      </w:r>
      <w:r w:rsidR="00950A4E" w:rsidRPr="00950A4E">
        <w:t xml:space="preserve"> </w:t>
      </w:r>
      <w:r w:rsidR="00950A4E" w:rsidRPr="00950A4E">
        <w:rPr>
          <w:lang w:eastAsia="en-AU" w:bidi="ar-SA"/>
        </w:rPr>
        <w:t>Chinese hamster lung fibroblast (CHL/IU) cells</w:t>
      </w:r>
      <w:r w:rsidR="008E4833">
        <w:rPr>
          <w:lang w:eastAsia="en-AU" w:bidi="ar-SA"/>
        </w:rPr>
        <w:t xml:space="preserve"> in</w:t>
      </w:r>
      <w:r>
        <w:rPr>
          <w:lang w:eastAsia="en-AU" w:bidi="ar-SA"/>
        </w:rPr>
        <w:t xml:space="preserve"> both the absence and presence of S9 fraction. The solvent and negative control was water. The po</w:t>
      </w:r>
      <w:r w:rsidR="008C3EAC">
        <w:rPr>
          <w:lang w:eastAsia="en-AU" w:bidi="ar-SA"/>
        </w:rPr>
        <w:t xml:space="preserve">sitive control substances were </w:t>
      </w:r>
      <w:proofErr w:type="spellStart"/>
      <w:r w:rsidR="008C3EAC">
        <w:rPr>
          <w:lang w:eastAsia="en-AU" w:bidi="ar-SA"/>
        </w:rPr>
        <w:t>m</w:t>
      </w:r>
      <w:r>
        <w:rPr>
          <w:lang w:eastAsia="en-AU" w:bidi="ar-SA"/>
        </w:rPr>
        <w:t>itomycin</w:t>
      </w:r>
      <w:proofErr w:type="spellEnd"/>
      <w:r>
        <w:rPr>
          <w:lang w:eastAsia="en-AU" w:bidi="ar-SA"/>
        </w:rPr>
        <w:t xml:space="preserve"> C in the absence of S9 fraction and cyclophosphamide in the presence of S9 fraction. </w:t>
      </w:r>
      <w:r w:rsidR="00A2672B">
        <w:rPr>
          <w:lang w:eastAsia="en-AU" w:bidi="ar-SA"/>
        </w:rPr>
        <w:t xml:space="preserve">Both a short-term treatment assay and a continuous exposure assay were conducted. The continuous exposure assay was conducted only in the absence of metabolic activation. The exposure period in the short-term treatment assay was 6 hours, and cells were harvested 18 hours following removal of the test article. In the continuous exposure assays </w:t>
      </w:r>
      <w:proofErr w:type="spellStart"/>
      <w:r w:rsidR="00A2672B">
        <w:rPr>
          <w:lang w:eastAsia="en-AU" w:bidi="ar-SA"/>
        </w:rPr>
        <w:t>colcemid</w:t>
      </w:r>
      <w:proofErr w:type="spellEnd"/>
      <w:r w:rsidR="00950A4E">
        <w:rPr>
          <w:rFonts w:cs="Arial"/>
          <w:lang w:eastAsia="en-AU" w:bidi="ar-SA"/>
        </w:rPr>
        <w:t>®</w:t>
      </w:r>
      <w:r w:rsidR="00A2672B">
        <w:rPr>
          <w:lang w:eastAsia="en-AU" w:bidi="ar-SA"/>
        </w:rPr>
        <w:t xml:space="preserve"> was added approximately 2 hours before the end of the 24 or 48 hour culture period. </w:t>
      </w:r>
      <w:r>
        <w:rPr>
          <w:lang w:eastAsia="en-AU" w:bidi="ar-SA"/>
        </w:rPr>
        <w:t>All assays were conducted in duplicate.</w:t>
      </w:r>
    </w:p>
    <w:p w14:paraId="0AD2C9D1" w14:textId="4040ADAB" w:rsidR="005468F4" w:rsidRDefault="005468F4" w:rsidP="004E073B">
      <w:pPr>
        <w:rPr>
          <w:lang w:eastAsia="en-AU" w:bidi="ar-SA"/>
        </w:rPr>
      </w:pPr>
    </w:p>
    <w:p w14:paraId="0C535343" w14:textId="65C20443" w:rsidR="005468F4" w:rsidRDefault="008239C4" w:rsidP="004E073B">
      <w:pPr>
        <w:rPr>
          <w:lang w:eastAsia="en-AU" w:bidi="ar-SA"/>
        </w:rPr>
      </w:pPr>
      <w:r>
        <w:rPr>
          <w:lang w:eastAsia="en-AU" w:bidi="ar-SA"/>
        </w:rPr>
        <w:t xml:space="preserve">Based on the results of a cell-growth inhibition test the </w:t>
      </w:r>
      <w:r w:rsidR="00BB1EA7">
        <w:rPr>
          <w:lang w:eastAsia="en-AU" w:bidi="ar-SA"/>
        </w:rPr>
        <w:t xml:space="preserve">dose </w:t>
      </w:r>
      <w:r>
        <w:rPr>
          <w:lang w:eastAsia="en-AU" w:bidi="ar-SA"/>
        </w:rPr>
        <w:t>concentrations selected for the short-term treatment assays with or without metabolic activation were 12.5, 25, 50 and 100% of test article</w:t>
      </w:r>
      <w:r w:rsidR="00AD1509">
        <w:rPr>
          <w:lang w:eastAsia="en-AU" w:bidi="ar-SA"/>
        </w:rPr>
        <w:t xml:space="preserve"> (0.5</w:t>
      </w:r>
      <w:r w:rsidR="00950A4E">
        <w:rPr>
          <w:lang w:eastAsia="en-AU" w:bidi="ar-SA"/>
        </w:rPr>
        <w:t xml:space="preserve"> </w:t>
      </w:r>
      <w:r w:rsidR="00AD1509">
        <w:rPr>
          <w:lang w:eastAsia="en-AU" w:bidi="ar-SA"/>
        </w:rPr>
        <w:t>mL/plate)</w:t>
      </w:r>
      <w:r>
        <w:rPr>
          <w:lang w:eastAsia="en-AU" w:bidi="ar-SA"/>
        </w:rPr>
        <w:t xml:space="preserve">. For the continuous exposure assay, test article </w:t>
      </w:r>
      <w:r w:rsidR="00D807ED">
        <w:rPr>
          <w:lang w:eastAsia="en-AU" w:bidi="ar-SA"/>
        </w:rPr>
        <w:t xml:space="preserve">dose </w:t>
      </w:r>
      <w:r>
        <w:rPr>
          <w:lang w:eastAsia="en-AU" w:bidi="ar-SA"/>
        </w:rPr>
        <w:t>concentrations of 0.391, 0.781, 1.56 and 3.13% were used when the exposure period was 24 hours, and concentrations of 0.0977, 0.195, 0.391 and 0.781% were used for the 48 hour exposure. The highest concentrations in the continuous exposure tests resulted in cytotoxicity of greater than 50%</w:t>
      </w:r>
      <w:r w:rsidR="00BB1EA7">
        <w:rPr>
          <w:lang w:eastAsia="en-AU" w:bidi="ar-SA"/>
        </w:rPr>
        <w:t xml:space="preserve"> compared with negative controls</w:t>
      </w:r>
      <w:r>
        <w:rPr>
          <w:lang w:eastAsia="en-AU" w:bidi="ar-SA"/>
        </w:rPr>
        <w:t xml:space="preserve">. </w:t>
      </w:r>
    </w:p>
    <w:p w14:paraId="33624411" w14:textId="77777777" w:rsidR="00BB1EA7" w:rsidRDefault="00BB1EA7" w:rsidP="004E073B">
      <w:pPr>
        <w:rPr>
          <w:lang w:eastAsia="en-AU" w:bidi="ar-SA"/>
        </w:rPr>
      </w:pPr>
    </w:p>
    <w:p w14:paraId="156A02D1" w14:textId="6A61E469" w:rsidR="00D74EA7" w:rsidRDefault="0087344B" w:rsidP="004E073B">
      <w:pPr>
        <w:rPr>
          <w:lang w:eastAsia="en-AU" w:bidi="ar-SA"/>
        </w:rPr>
      </w:pPr>
      <w:r>
        <w:rPr>
          <w:lang w:eastAsia="en-AU" w:bidi="ar-SA"/>
        </w:rPr>
        <w:t>A</w:t>
      </w:r>
      <w:r w:rsidR="00C455AA">
        <w:rPr>
          <w:lang w:eastAsia="en-AU" w:bidi="ar-SA"/>
        </w:rPr>
        <w:t xml:space="preserve"> </w:t>
      </w:r>
      <w:r>
        <w:rPr>
          <w:lang w:eastAsia="en-AU" w:bidi="ar-SA"/>
        </w:rPr>
        <w:t xml:space="preserve">&lt; 5% </w:t>
      </w:r>
      <w:r w:rsidR="00C455AA">
        <w:rPr>
          <w:lang w:eastAsia="en-AU" w:bidi="ar-SA"/>
        </w:rPr>
        <w:t>incidence</w:t>
      </w:r>
      <w:r w:rsidR="005A32E6">
        <w:rPr>
          <w:lang w:eastAsia="en-AU" w:bidi="ar-SA"/>
        </w:rPr>
        <w:t xml:space="preserve"> of cells with structural and</w:t>
      </w:r>
      <w:r w:rsidR="00C455AA">
        <w:rPr>
          <w:lang w:eastAsia="en-AU" w:bidi="ar-SA"/>
        </w:rPr>
        <w:t xml:space="preserve"> numerical chromosome aberrations was considered to indicate a negative response, an incidence of </w:t>
      </w:r>
      <w:r w:rsidR="00C455AA">
        <w:rPr>
          <w:rFonts w:cs="Arial"/>
          <w:lang w:eastAsia="en-AU" w:bidi="ar-SA"/>
        </w:rPr>
        <w:t>≤</w:t>
      </w:r>
      <w:r w:rsidR="00C455AA">
        <w:rPr>
          <w:lang w:eastAsia="en-AU" w:bidi="ar-SA"/>
        </w:rPr>
        <w:t xml:space="preserve"> 5 </w:t>
      </w:r>
      <w:r w:rsidR="00874788">
        <w:rPr>
          <w:lang w:eastAsia="en-AU" w:bidi="ar-SA"/>
        </w:rPr>
        <w:t>to</w:t>
      </w:r>
      <w:r w:rsidR="00C455AA">
        <w:rPr>
          <w:lang w:eastAsia="en-AU" w:bidi="ar-SA"/>
        </w:rPr>
        <w:t xml:space="preserve"> &lt; 10% </w:t>
      </w:r>
      <w:r w:rsidR="008C3EAC">
        <w:rPr>
          <w:lang w:eastAsia="en-AU" w:bidi="ar-SA"/>
        </w:rPr>
        <w:t>an equivo</w:t>
      </w:r>
      <w:r w:rsidR="00C455AA">
        <w:rPr>
          <w:lang w:eastAsia="en-AU" w:bidi="ar-SA"/>
        </w:rPr>
        <w:t>c</w:t>
      </w:r>
      <w:r w:rsidR="008C3EAC">
        <w:rPr>
          <w:lang w:eastAsia="en-AU" w:bidi="ar-SA"/>
        </w:rPr>
        <w:t>a</w:t>
      </w:r>
      <w:r w:rsidR="00C455AA">
        <w:rPr>
          <w:lang w:eastAsia="en-AU" w:bidi="ar-SA"/>
        </w:rPr>
        <w:t xml:space="preserve">l response and an incidence of </w:t>
      </w:r>
      <w:r w:rsidR="00C455AA">
        <w:rPr>
          <w:rFonts w:cs="Arial"/>
          <w:lang w:eastAsia="en-AU" w:bidi="ar-SA"/>
        </w:rPr>
        <w:t>≥</w:t>
      </w:r>
      <w:r w:rsidR="00C455AA">
        <w:rPr>
          <w:lang w:eastAsia="en-AU" w:bidi="ar-SA"/>
        </w:rPr>
        <w:t xml:space="preserve"> 10% was considered a positive response. </w:t>
      </w:r>
    </w:p>
    <w:p w14:paraId="134555FE" w14:textId="30C4446A" w:rsidR="008C3EAC" w:rsidRDefault="008C3EAC" w:rsidP="004E073B">
      <w:pPr>
        <w:rPr>
          <w:lang w:eastAsia="en-AU" w:bidi="ar-SA"/>
        </w:rPr>
      </w:pPr>
    </w:p>
    <w:p w14:paraId="5AF1C236" w14:textId="68C57275" w:rsidR="00511664" w:rsidRDefault="008C3EAC" w:rsidP="004E073B">
      <w:pPr>
        <w:rPr>
          <w:lang w:eastAsia="en-AU" w:bidi="ar-SA"/>
        </w:rPr>
      </w:pPr>
      <w:r>
        <w:rPr>
          <w:lang w:eastAsia="en-AU" w:bidi="ar-SA"/>
        </w:rPr>
        <w:t>In both the short-term and continuous treatment tests</w:t>
      </w:r>
      <w:r w:rsidR="00912FB4">
        <w:rPr>
          <w:lang w:eastAsia="en-AU" w:bidi="ar-SA"/>
        </w:rPr>
        <w:t>,</w:t>
      </w:r>
      <w:r>
        <w:rPr>
          <w:lang w:eastAsia="en-AU" w:bidi="ar-SA"/>
        </w:rPr>
        <w:t xml:space="preserve"> the incidence of cells with chromosome aberrations excluding gaps </w:t>
      </w:r>
      <w:r w:rsidR="00511664">
        <w:rPr>
          <w:lang w:eastAsia="en-AU" w:bidi="ar-SA"/>
        </w:rPr>
        <w:t>(</w:t>
      </w:r>
      <w:r>
        <w:rPr>
          <w:lang w:eastAsia="en-AU" w:bidi="ar-SA"/>
        </w:rPr>
        <w:t>an index for structural chromosome aberrations</w:t>
      </w:r>
      <w:r w:rsidR="00511664">
        <w:rPr>
          <w:lang w:eastAsia="en-AU" w:bidi="ar-SA"/>
        </w:rPr>
        <w:t>)</w:t>
      </w:r>
      <w:r>
        <w:rPr>
          <w:lang w:eastAsia="en-AU" w:bidi="ar-SA"/>
        </w:rPr>
        <w:t xml:space="preserve">, and </w:t>
      </w:r>
      <w:r w:rsidR="00511664">
        <w:rPr>
          <w:lang w:eastAsia="en-AU" w:bidi="ar-SA"/>
        </w:rPr>
        <w:t xml:space="preserve">the incidence of </w:t>
      </w:r>
      <w:proofErr w:type="spellStart"/>
      <w:r w:rsidR="00511664">
        <w:rPr>
          <w:lang w:eastAsia="en-AU" w:bidi="ar-SA"/>
        </w:rPr>
        <w:t>polyploid</w:t>
      </w:r>
      <w:proofErr w:type="spellEnd"/>
      <w:r w:rsidR="00511664">
        <w:rPr>
          <w:lang w:eastAsia="en-AU" w:bidi="ar-SA"/>
        </w:rPr>
        <w:t xml:space="preserve"> cells, were in the range considered negative at all dose concentrations with and without metabolic activation. There was also no indication of an increased incidence </w:t>
      </w:r>
      <w:r w:rsidR="00950A4E">
        <w:rPr>
          <w:lang w:eastAsia="en-AU" w:bidi="ar-SA"/>
        </w:rPr>
        <w:t xml:space="preserve">of chromosome aberrations </w:t>
      </w:r>
      <w:r w:rsidR="00511664">
        <w:rPr>
          <w:lang w:eastAsia="en-AU" w:bidi="ar-SA"/>
        </w:rPr>
        <w:t xml:space="preserve">compared with the negative controls. </w:t>
      </w:r>
      <w:r w:rsidR="00D74EA7">
        <w:rPr>
          <w:lang w:eastAsia="en-AU" w:bidi="ar-SA"/>
        </w:rPr>
        <w:t xml:space="preserve">Marked increases in the number of cells with </w:t>
      </w:r>
      <w:r w:rsidR="005A32E6">
        <w:rPr>
          <w:lang w:eastAsia="en-AU" w:bidi="ar-SA"/>
        </w:rPr>
        <w:t xml:space="preserve">structural </w:t>
      </w:r>
      <w:r w:rsidR="00D74EA7">
        <w:rPr>
          <w:lang w:eastAsia="en-AU" w:bidi="ar-SA"/>
        </w:rPr>
        <w:t>chromosome aberrations were seen in the positive control groups, confir</w:t>
      </w:r>
      <w:r w:rsidR="00511664">
        <w:rPr>
          <w:lang w:eastAsia="en-AU" w:bidi="ar-SA"/>
        </w:rPr>
        <w:t xml:space="preserve">ming the validity of the study. </w:t>
      </w:r>
    </w:p>
    <w:p w14:paraId="4D423E8D" w14:textId="77777777" w:rsidR="00511664" w:rsidRDefault="00511664" w:rsidP="004E073B">
      <w:pPr>
        <w:rPr>
          <w:lang w:eastAsia="en-AU" w:bidi="ar-SA"/>
        </w:rPr>
      </w:pPr>
    </w:p>
    <w:p w14:paraId="409BA44B" w14:textId="32A31538" w:rsidR="00511664" w:rsidRPr="004E073B" w:rsidRDefault="00511664" w:rsidP="004E073B">
      <w:pPr>
        <w:rPr>
          <w:lang w:eastAsia="en-AU" w:bidi="ar-SA"/>
        </w:rPr>
      </w:pPr>
      <w:r>
        <w:rPr>
          <w:lang w:eastAsia="en-AU" w:bidi="ar-SA"/>
        </w:rPr>
        <w:t xml:space="preserve">It was concluded that the test substance did not induce </w:t>
      </w:r>
      <w:r w:rsidR="005A32E6">
        <w:rPr>
          <w:lang w:eastAsia="en-AU" w:bidi="ar-SA"/>
        </w:rPr>
        <w:t xml:space="preserve">structural </w:t>
      </w:r>
      <w:r>
        <w:rPr>
          <w:lang w:eastAsia="en-AU" w:bidi="ar-SA"/>
        </w:rPr>
        <w:t xml:space="preserve">chromosome aberrations under the conditions of this study. </w:t>
      </w:r>
    </w:p>
    <w:p w14:paraId="43BC6707" w14:textId="23260927" w:rsidR="00814242" w:rsidRDefault="007020EF" w:rsidP="007B2E24">
      <w:pPr>
        <w:pStyle w:val="Heading3"/>
      </w:pPr>
      <w:bookmarkStart w:id="32" w:name="_Toc485991980"/>
      <w:r w:rsidRPr="007B2E24">
        <w:t>3.4</w:t>
      </w:r>
      <w:r w:rsidR="00814242" w:rsidRPr="007B2E24">
        <w:t>.2</w:t>
      </w:r>
      <w:r w:rsidR="007B2E24" w:rsidRPr="007B2E24">
        <w:tab/>
      </w:r>
      <w:r w:rsidR="0003668B">
        <w:t>Animal studies</w:t>
      </w:r>
      <w:bookmarkEnd w:id="32"/>
    </w:p>
    <w:p w14:paraId="67EB675A" w14:textId="77777777" w:rsidR="00C53BA9" w:rsidRDefault="00C53BA9" w:rsidP="00904469">
      <w:pPr>
        <w:pStyle w:val="Heading4"/>
        <w:ind w:left="0" w:firstLine="0"/>
        <w:rPr>
          <w:lang w:eastAsia="en-AU"/>
        </w:rPr>
      </w:pPr>
      <w:r>
        <w:rPr>
          <w:lang w:eastAsia="en-AU"/>
        </w:rPr>
        <w:t xml:space="preserve">A </w:t>
      </w:r>
      <w:r w:rsidR="00225E72">
        <w:rPr>
          <w:lang w:eastAsia="en-AU"/>
        </w:rPr>
        <w:t xml:space="preserve">13-week oral toxicity study </w:t>
      </w:r>
      <w:r>
        <w:rPr>
          <w:lang w:eastAsia="en-AU"/>
        </w:rPr>
        <w:t>of lipase concentrate (</w:t>
      </w:r>
      <w:r w:rsidRPr="00C55A0F">
        <w:rPr>
          <w:i w:val="0"/>
          <w:lang w:eastAsia="en-AU"/>
        </w:rPr>
        <w:t xml:space="preserve">Candida </w:t>
      </w:r>
      <w:proofErr w:type="spellStart"/>
      <w:r w:rsidRPr="00C55A0F">
        <w:rPr>
          <w:i w:val="0"/>
          <w:lang w:eastAsia="en-AU"/>
        </w:rPr>
        <w:t>cylindracea</w:t>
      </w:r>
      <w:proofErr w:type="spellEnd"/>
      <w:r>
        <w:rPr>
          <w:lang w:eastAsia="en-AU"/>
        </w:rPr>
        <w:t xml:space="preserve">) </w:t>
      </w:r>
      <w:r w:rsidR="00225E72">
        <w:rPr>
          <w:lang w:eastAsia="en-AU"/>
        </w:rPr>
        <w:t xml:space="preserve">in rats – Yamamoto (Study Director); Bozo Research </w:t>
      </w:r>
      <w:proofErr w:type="spellStart"/>
      <w:r w:rsidR="00225E72">
        <w:rPr>
          <w:lang w:eastAsia="en-AU"/>
        </w:rPr>
        <w:t>Center</w:t>
      </w:r>
      <w:proofErr w:type="spellEnd"/>
      <w:r w:rsidR="00225E72">
        <w:rPr>
          <w:lang w:eastAsia="en-AU"/>
        </w:rPr>
        <w:t xml:space="preserve"> study number B-7279 (2013)</w:t>
      </w:r>
    </w:p>
    <w:p w14:paraId="50162D54" w14:textId="0F7C5124" w:rsidR="009C48C9" w:rsidRDefault="009C48C9" w:rsidP="004E073B">
      <w:pPr>
        <w:rPr>
          <w:lang w:eastAsia="en-AU" w:bidi="ar-SA"/>
        </w:rPr>
      </w:pPr>
      <w:r>
        <w:rPr>
          <w:lang w:eastAsia="en-AU" w:bidi="ar-SA"/>
        </w:rPr>
        <w:t xml:space="preserve">The study was conducted in compliance with the JMHW Ordinance on Standard for Conduct of Non-Clinical Studies on Safety of Drugs, as well as JMHW guidelines for </w:t>
      </w:r>
      <w:r w:rsidR="00DC13DA">
        <w:rPr>
          <w:lang w:eastAsia="en-AU" w:bidi="ar-SA"/>
        </w:rPr>
        <w:t xml:space="preserve">repeated-dose toxicity studies, food additives and </w:t>
      </w:r>
      <w:r>
        <w:rPr>
          <w:lang w:eastAsia="en-AU" w:bidi="ar-SA"/>
        </w:rPr>
        <w:t xml:space="preserve">toxicity studies for pharmaceuticals. </w:t>
      </w:r>
    </w:p>
    <w:p w14:paraId="6A0419FA" w14:textId="77777777" w:rsidR="009C48C9" w:rsidRDefault="009C48C9" w:rsidP="004E073B">
      <w:pPr>
        <w:rPr>
          <w:lang w:eastAsia="en-AU" w:bidi="ar-SA"/>
        </w:rPr>
      </w:pPr>
    </w:p>
    <w:p w14:paraId="662EF551" w14:textId="6A1E45B3" w:rsidR="008C2288" w:rsidRDefault="00F756F7" w:rsidP="004E073B">
      <w:pPr>
        <w:rPr>
          <w:lang w:eastAsia="en-AU" w:bidi="ar-SA"/>
        </w:rPr>
      </w:pPr>
      <w:r>
        <w:rPr>
          <w:lang w:eastAsia="en-AU" w:bidi="ar-SA"/>
        </w:rPr>
        <w:t>The test material was the</w:t>
      </w:r>
      <w:r w:rsidR="009C48C9">
        <w:rPr>
          <w:lang w:eastAsia="en-AU" w:bidi="ar-SA"/>
        </w:rPr>
        <w:t xml:space="preserve"> liquid lipase concentrate with an enzyme activity level </w:t>
      </w:r>
      <w:proofErr w:type="gramStart"/>
      <w:r w:rsidR="009C48C9">
        <w:rPr>
          <w:lang w:eastAsia="en-AU" w:bidi="ar-SA"/>
        </w:rPr>
        <w:t xml:space="preserve">of 71,000 </w:t>
      </w:r>
      <w:r w:rsidR="009C48C9">
        <w:rPr>
          <w:rFonts w:cs="Arial"/>
          <w:lang w:eastAsia="en-AU" w:bidi="ar-SA"/>
        </w:rPr>
        <w:t>µ</w:t>
      </w:r>
      <w:r w:rsidR="009C48C9">
        <w:rPr>
          <w:lang w:eastAsia="en-AU" w:bidi="ar-SA"/>
        </w:rPr>
        <w:t>/</w:t>
      </w:r>
      <w:proofErr w:type="spellStart"/>
      <w:r w:rsidR="009C48C9">
        <w:rPr>
          <w:lang w:eastAsia="en-AU" w:bidi="ar-SA"/>
        </w:rPr>
        <w:t>m</w:t>
      </w:r>
      <w:r w:rsidR="00351FE2">
        <w:rPr>
          <w:lang w:eastAsia="en-AU" w:bidi="ar-SA"/>
        </w:rPr>
        <w:t>L</w:t>
      </w:r>
      <w:proofErr w:type="gramEnd"/>
      <w:r w:rsidR="009C48C9">
        <w:rPr>
          <w:lang w:eastAsia="en-AU" w:bidi="ar-SA"/>
        </w:rPr>
        <w:t>.</w:t>
      </w:r>
      <w:proofErr w:type="spellEnd"/>
      <w:r w:rsidR="009C48C9">
        <w:rPr>
          <w:lang w:eastAsia="en-AU" w:bidi="ar-SA"/>
        </w:rPr>
        <w:t xml:space="preserve"> </w:t>
      </w:r>
      <w:r w:rsidR="00CC58B8">
        <w:rPr>
          <w:lang w:eastAsia="en-AU" w:bidi="ar-SA"/>
        </w:rPr>
        <w:t xml:space="preserve">The test vehicle and negative control was water. </w:t>
      </w:r>
      <w:r w:rsidR="009825EC">
        <w:rPr>
          <w:lang w:eastAsia="en-AU" w:bidi="ar-SA"/>
        </w:rPr>
        <w:t xml:space="preserve">Lipase concentrate was administered daily by oral gavage to Sprague Dawley </w:t>
      </w:r>
      <w:proofErr w:type="spellStart"/>
      <w:r w:rsidR="009825EC">
        <w:rPr>
          <w:lang w:eastAsia="en-AU" w:bidi="ar-SA"/>
        </w:rPr>
        <w:t>Crl</w:t>
      </w:r>
      <w:proofErr w:type="gramStart"/>
      <w:r w:rsidR="009825EC">
        <w:rPr>
          <w:lang w:eastAsia="en-AU" w:bidi="ar-SA"/>
        </w:rPr>
        <w:t>:CD</w:t>
      </w:r>
      <w:proofErr w:type="spellEnd"/>
      <w:proofErr w:type="gramEnd"/>
      <w:r w:rsidR="009825EC">
        <w:rPr>
          <w:lang w:eastAsia="en-AU" w:bidi="ar-SA"/>
        </w:rPr>
        <w:t xml:space="preserve">(SD) SPF rats (12/sex/group) for 13 weeks. </w:t>
      </w:r>
      <w:r w:rsidR="009825EC">
        <w:rPr>
          <w:lang w:eastAsia="en-AU" w:bidi="ar-SA"/>
        </w:rPr>
        <w:lastRenderedPageBreak/>
        <w:t xml:space="preserve">Rats were acclimatised for </w:t>
      </w:r>
      <w:r w:rsidR="002D7232">
        <w:rPr>
          <w:lang w:eastAsia="en-AU" w:bidi="ar-SA"/>
        </w:rPr>
        <w:t>8</w:t>
      </w:r>
      <w:r w:rsidR="009825EC">
        <w:rPr>
          <w:lang w:eastAsia="en-AU" w:bidi="ar-SA"/>
        </w:rPr>
        <w:t xml:space="preserve"> days prior to the first day of treatment, at which</w:t>
      </w:r>
      <w:r w:rsidR="002D7232">
        <w:rPr>
          <w:lang w:eastAsia="en-AU" w:bidi="ar-SA"/>
        </w:rPr>
        <w:t xml:space="preserve"> time</w:t>
      </w:r>
      <w:r w:rsidR="009825EC">
        <w:rPr>
          <w:lang w:eastAsia="en-AU" w:bidi="ar-SA"/>
        </w:rPr>
        <w:t xml:space="preserve"> they were approximately 6 weeks old. Animals were housed individually with </w:t>
      </w:r>
      <w:r w:rsidR="009825EC" w:rsidRPr="00767DD7">
        <w:rPr>
          <w:i/>
          <w:lang w:eastAsia="en-AU" w:bidi="ar-SA"/>
        </w:rPr>
        <w:t>ad libitum</w:t>
      </w:r>
      <w:r w:rsidR="009825EC">
        <w:rPr>
          <w:lang w:eastAsia="en-AU" w:bidi="ar-SA"/>
        </w:rPr>
        <w:t xml:space="preserve"> access to food and water. Animal room conditions were standard laboratory husbandry conditions. Rats were </w:t>
      </w:r>
      <w:proofErr w:type="spellStart"/>
      <w:r w:rsidR="009825EC">
        <w:rPr>
          <w:lang w:eastAsia="en-AU" w:bidi="ar-SA"/>
        </w:rPr>
        <w:t>gavaged</w:t>
      </w:r>
      <w:proofErr w:type="spellEnd"/>
      <w:r w:rsidR="009825EC">
        <w:rPr>
          <w:lang w:eastAsia="en-AU" w:bidi="ar-SA"/>
        </w:rPr>
        <w:t xml:space="preserve"> with a dose volume of 10 mL/kg </w:t>
      </w:r>
      <w:proofErr w:type="spellStart"/>
      <w:r w:rsidR="009825EC">
        <w:rPr>
          <w:lang w:eastAsia="en-AU" w:bidi="ar-SA"/>
        </w:rPr>
        <w:t>bw</w:t>
      </w:r>
      <w:proofErr w:type="spellEnd"/>
      <w:r w:rsidR="009825EC">
        <w:rPr>
          <w:lang w:eastAsia="en-AU" w:bidi="ar-SA"/>
        </w:rPr>
        <w:t>/day. Based on the findings of a prior 2-week oral gavage study in rats, concentrations of the test substance administered were 25, 50 or 100% lipase concentrate</w:t>
      </w:r>
      <w:r w:rsidR="002D7232">
        <w:rPr>
          <w:lang w:eastAsia="en-AU" w:bidi="ar-SA"/>
        </w:rPr>
        <w:t>, with a vehicle control group also included</w:t>
      </w:r>
      <w:r w:rsidR="009825EC">
        <w:rPr>
          <w:lang w:eastAsia="en-AU" w:bidi="ar-SA"/>
        </w:rPr>
        <w:t xml:space="preserve">. </w:t>
      </w:r>
      <w:r w:rsidR="002D7232">
        <w:rPr>
          <w:lang w:eastAsia="en-AU" w:bidi="ar-SA"/>
        </w:rPr>
        <w:t xml:space="preserve">The theoretical lipase activity of these test concentrations was 17,750, 35,550 and 71,000 </w:t>
      </w:r>
      <w:r w:rsidR="002D7232">
        <w:rPr>
          <w:rFonts w:cs="Arial"/>
          <w:lang w:eastAsia="en-AU" w:bidi="ar-SA"/>
        </w:rPr>
        <w:t>µ</w:t>
      </w:r>
      <w:r w:rsidR="002D7232">
        <w:rPr>
          <w:lang w:eastAsia="en-AU" w:bidi="ar-SA"/>
        </w:rPr>
        <w:t>/m</w:t>
      </w:r>
      <w:r w:rsidR="00351FE2">
        <w:rPr>
          <w:lang w:eastAsia="en-AU" w:bidi="ar-SA"/>
        </w:rPr>
        <w:t>L</w:t>
      </w:r>
      <w:r w:rsidR="002D7232">
        <w:rPr>
          <w:lang w:eastAsia="en-AU" w:bidi="ar-SA"/>
        </w:rPr>
        <w:t>, respectively</w:t>
      </w:r>
      <w:r>
        <w:rPr>
          <w:lang w:eastAsia="en-AU" w:bidi="ar-SA"/>
        </w:rPr>
        <w:t>. M</w:t>
      </w:r>
      <w:r w:rsidR="002D7232">
        <w:rPr>
          <w:lang w:eastAsia="en-AU" w:bidi="ar-SA"/>
        </w:rPr>
        <w:t>easured activities were 103–07% of the theoretical activities</w:t>
      </w:r>
      <w:r w:rsidR="002F2D04">
        <w:rPr>
          <w:lang w:eastAsia="en-AU" w:bidi="ar-SA"/>
        </w:rPr>
        <w:t xml:space="preserve"> in the first week of the study and 96–110 % in Week 13</w:t>
      </w:r>
      <w:r w:rsidR="002D7232">
        <w:rPr>
          <w:lang w:eastAsia="en-AU" w:bidi="ar-SA"/>
        </w:rPr>
        <w:t xml:space="preserve">. </w:t>
      </w:r>
    </w:p>
    <w:p w14:paraId="3C13F93A" w14:textId="77777777" w:rsidR="008C2288" w:rsidRDefault="008C2288" w:rsidP="004E073B">
      <w:pPr>
        <w:rPr>
          <w:lang w:eastAsia="en-AU" w:bidi="ar-SA"/>
        </w:rPr>
      </w:pPr>
    </w:p>
    <w:p w14:paraId="0A614006" w14:textId="491D2CDF" w:rsidR="004E073B" w:rsidRDefault="008C2288" w:rsidP="004E073B">
      <w:pPr>
        <w:rPr>
          <w:lang w:eastAsia="en-AU" w:bidi="ar-SA"/>
        </w:rPr>
      </w:pPr>
      <w:r>
        <w:rPr>
          <w:lang w:eastAsia="en-AU" w:bidi="ar-SA"/>
        </w:rPr>
        <w:t xml:space="preserve">Survival, clinical signs, body weight and food consumption were assessed throughout the course of the study, and an ophthalmological examination was performed before the start of the administration period and again in Week 13 of administration. Urine samples were collected in Week 13 and blood samples were collected at scheduled necropsy. </w:t>
      </w:r>
      <w:r w:rsidR="00EF6319">
        <w:rPr>
          <w:lang w:eastAsia="en-AU" w:bidi="ar-SA"/>
        </w:rPr>
        <w:t>Animals were killed by exsanguination under anaesthesia. A complete gross necropsy was conducted on all rats and organ weights were determined for brain, thyroid, adrenals, thymus, spleen, heart, lung, salivary gland, liver and kidney as well as the test</w:t>
      </w:r>
      <w:r w:rsidR="00F756F7">
        <w:rPr>
          <w:lang w:eastAsia="en-AU" w:bidi="ar-SA"/>
        </w:rPr>
        <w:t>i</w:t>
      </w:r>
      <w:r w:rsidR="00EF6319">
        <w:rPr>
          <w:lang w:eastAsia="en-AU" w:bidi="ar-SA"/>
        </w:rPr>
        <w:t>s, prostate and seminal vesicle of males and ovary and uterus of females. Tissues were preserved and processed for histopathological examination.</w:t>
      </w:r>
    </w:p>
    <w:p w14:paraId="70F0AD73" w14:textId="569E6865" w:rsidR="00EF6319" w:rsidRDefault="00EF6319" w:rsidP="004E073B">
      <w:pPr>
        <w:rPr>
          <w:lang w:eastAsia="en-AU" w:bidi="ar-SA"/>
        </w:rPr>
      </w:pPr>
    </w:p>
    <w:p w14:paraId="1617C462" w14:textId="2664DB5D" w:rsidR="00EF6319" w:rsidRDefault="00962BBD" w:rsidP="004E073B">
      <w:pPr>
        <w:rPr>
          <w:lang w:eastAsia="en-AU" w:bidi="ar-SA"/>
        </w:rPr>
      </w:pPr>
      <w:r>
        <w:rPr>
          <w:lang w:eastAsia="en-AU" w:bidi="ar-SA"/>
        </w:rPr>
        <w:t xml:space="preserve">No deaths occurred in any group, and no treatment-related clinical signs were observed. No treatment-related effects on body weight or </w:t>
      </w:r>
      <w:r w:rsidR="00F756F7">
        <w:rPr>
          <w:lang w:eastAsia="en-AU" w:bidi="ar-SA"/>
        </w:rPr>
        <w:t>food consumption</w:t>
      </w:r>
      <w:r>
        <w:rPr>
          <w:lang w:eastAsia="en-AU" w:bidi="ar-SA"/>
        </w:rPr>
        <w:t xml:space="preserve"> were seen. A statistically significant reduction in body weight was seen in males in the 50% dose group from Day 28 as well as reduced food consumption on Days 28</w:t>
      </w:r>
      <w:r w:rsidR="00904469">
        <w:rPr>
          <w:rFonts w:cs="Arial"/>
          <w:lang w:eastAsia="en-AU" w:bidi="ar-SA"/>
        </w:rPr>
        <w:t>–</w:t>
      </w:r>
      <w:r>
        <w:rPr>
          <w:lang w:eastAsia="en-AU" w:bidi="ar-SA"/>
        </w:rPr>
        <w:t xml:space="preserve">35 and Day 73, but these were considered to be incidental findings as a dose-response was not observed. </w:t>
      </w:r>
      <w:r w:rsidR="006C753D">
        <w:rPr>
          <w:lang w:eastAsia="en-AU" w:bidi="ar-SA"/>
        </w:rPr>
        <w:t>There were n</w:t>
      </w:r>
      <w:r w:rsidR="006C753D" w:rsidRPr="006C753D">
        <w:rPr>
          <w:lang w:eastAsia="en-AU" w:bidi="ar-SA"/>
        </w:rPr>
        <w:t>o treatment-related changes in organ weight</w:t>
      </w:r>
      <w:r w:rsidR="006C753D">
        <w:rPr>
          <w:lang w:eastAsia="en-AU" w:bidi="ar-SA"/>
        </w:rPr>
        <w:t>,</w:t>
      </w:r>
      <w:r w:rsidR="006C753D" w:rsidRPr="006C753D">
        <w:rPr>
          <w:lang w:eastAsia="en-AU" w:bidi="ar-SA"/>
        </w:rPr>
        <w:t xml:space="preserve"> </w:t>
      </w:r>
      <w:r>
        <w:rPr>
          <w:lang w:eastAsia="en-AU" w:bidi="ar-SA"/>
        </w:rPr>
        <w:t xml:space="preserve">ophthalmology, urinalysis, haematology, blood chemistry, necropsy or histopathology. </w:t>
      </w:r>
    </w:p>
    <w:p w14:paraId="161874E5" w14:textId="00481D62" w:rsidR="003E3103" w:rsidRDefault="003E3103" w:rsidP="004E073B">
      <w:pPr>
        <w:rPr>
          <w:lang w:eastAsia="en-AU" w:bidi="ar-SA"/>
        </w:rPr>
      </w:pPr>
    </w:p>
    <w:p w14:paraId="699BEE06" w14:textId="19AF80C6" w:rsidR="003E3103" w:rsidRDefault="00A35F9B" w:rsidP="004E073B">
      <w:pPr>
        <w:rPr>
          <w:lang w:eastAsia="en-AU" w:bidi="ar-SA"/>
        </w:rPr>
      </w:pPr>
      <w:r>
        <w:rPr>
          <w:lang w:eastAsia="en-AU" w:bidi="ar-SA"/>
        </w:rPr>
        <w:t xml:space="preserve">The highest dose of lipase concentrate used in this study, 10 mL/kg </w:t>
      </w:r>
      <w:proofErr w:type="spellStart"/>
      <w:r>
        <w:rPr>
          <w:lang w:eastAsia="en-AU" w:bidi="ar-SA"/>
        </w:rPr>
        <w:t>bw</w:t>
      </w:r>
      <w:proofErr w:type="spellEnd"/>
      <w:r>
        <w:rPr>
          <w:lang w:eastAsia="en-AU" w:bidi="ar-SA"/>
        </w:rPr>
        <w:t xml:space="preserve">/day of a 100% solution, was identified as the No Observed Adverse Effect Level (NOAEL). </w:t>
      </w:r>
      <w:r w:rsidR="0010443A">
        <w:rPr>
          <w:lang w:eastAsia="en-AU" w:bidi="ar-SA"/>
        </w:rPr>
        <w:t xml:space="preserve">The </w:t>
      </w:r>
      <w:r w:rsidR="00D04D72">
        <w:rPr>
          <w:lang w:eastAsia="en-AU" w:bidi="ar-SA"/>
        </w:rPr>
        <w:t>A</w:t>
      </w:r>
      <w:r w:rsidR="0010443A">
        <w:rPr>
          <w:lang w:eastAsia="en-AU" w:bidi="ar-SA"/>
        </w:rPr>
        <w:t>pplication states t</w:t>
      </w:r>
      <w:r w:rsidR="00FB1AE2">
        <w:rPr>
          <w:lang w:eastAsia="en-AU" w:bidi="ar-SA"/>
        </w:rPr>
        <w:t>hat the NOAEL corresponds to 10,</w:t>
      </w:r>
      <w:r w:rsidR="0010443A">
        <w:rPr>
          <w:lang w:eastAsia="en-AU" w:bidi="ar-SA"/>
        </w:rPr>
        <w:t>2</w:t>
      </w:r>
      <w:r w:rsidR="00FB1AE2">
        <w:rPr>
          <w:lang w:eastAsia="en-AU" w:bidi="ar-SA"/>
        </w:rPr>
        <w:t>00</w:t>
      </w:r>
      <w:r w:rsidR="0010443A">
        <w:rPr>
          <w:lang w:eastAsia="en-AU" w:bidi="ar-SA"/>
        </w:rPr>
        <w:t xml:space="preserve"> </w:t>
      </w:r>
      <w:r w:rsidR="00FB1AE2">
        <w:rPr>
          <w:lang w:eastAsia="en-AU" w:bidi="ar-SA"/>
        </w:rPr>
        <w:t>m</w:t>
      </w:r>
      <w:r w:rsidR="0010443A">
        <w:rPr>
          <w:lang w:eastAsia="en-AU" w:bidi="ar-SA"/>
        </w:rPr>
        <w:t xml:space="preserve">g/kg </w:t>
      </w:r>
      <w:proofErr w:type="spellStart"/>
      <w:r w:rsidR="0010443A">
        <w:rPr>
          <w:lang w:eastAsia="en-AU" w:bidi="ar-SA"/>
        </w:rPr>
        <w:t>bw</w:t>
      </w:r>
      <w:proofErr w:type="spellEnd"/>
      <w:r w:rsidR="0010443A">
        <w:rPr>
          <w:lang w:eastAsia="en-AU" w:bidi="ar-SA"/>
        </w:rPr>
        <w:t xml:space="preserve">/day of </w:t>
      </w:r>
      <w:r w:rsidR="00FB1AE2">
        <w:rPr>
          <w:lang w:eastAsia="en-AU" w:bidi="ar-SA"/>
        </w:rPr>
        <w:t xml:space="preserve">the </w:t>
      </w:r>
      <w:r w:rsidR="0010443A">
        <w:rPr>
          <w:lang w:eastAsia="en-AU" w:bidi="ar-SA"/>
        </w:rPr>
        <w:t xml:space="preserve">test substance. Based on a total organic solid (TOS) content of 5.7% this equates to 581 mg TOS/kg </w:t>
      </w:r>
      <w:proofErr w:type="spellStart"/>
      <w:r w:rsidR="0010443A">
        <w:rPr>
          <w:lang w:eastAsia="en-AU" w:bidi="ar-SA"/>
        </w:rPr>
        <w:t>bw</w:t>
      </w:r>
      <w:proofErr w:type="spellEnd"/>
      <w:r w:rsidR="0010443A">
        <w:rPr>
          <w:lang w:eastAsia="en-AU" w:bidi="ar-SA"/>
        </w:rPr>
        <w:t xml:space="preserve">/day. </w:t>
      </w:r>
    </w:p>
    <w:p w14:paraId="3CA38E2E" w14:textId="3524F4AB" w:rsidR="00EA0482" w:rsidRDefault="00EA0482" w:rsidP="00EA0482">
      <w:pPr>
        <w:pStyle w:val="Heading3"/>
      </w:pPr>
      <w:bookmarkStart w:id="33" w:name="_Toc473881594"/>
      <w:bookmarkStart w:id="34" w:name="_Toc485991981"/>
      <w:r>
        <w:t>3.4.3</w:t>
      </w:r>
      <w:r>
        <w:tab/>
      </w:r>
      <w:proofErr w:type="spellStart"/>
      <w:r w:rsidRPr="008D7A7C">
        <w:t>Bioinformatic</w:t>
      </w:r>
      <w:proofErr w:type="spellEnd"/>
      <w:r w:rsidRPr="008D7A7C">
        <w:t xml:space="preserve"> analysis for potential </w:t>
      </w:r>
      <w:proofErr w:type="spellStart"/>
      <w:r w:rsidRPr="008D7A7C">
        <w:t>allergenicity</w:t>
      </w:r>
      <w:bookmarkEnd w:id="33"/>
      <w:bookmarkEnd w:id="34"/>
      <w:proofErr w:type="spellEnd"/>
      <w:r w:rsidRPr="007B2E24">
        <w:t xml:space="preserve"> </w:t>
      </w:r>
    </w:p>
    <w:p w14:paraId="54CCEF7B" w14:textId="6D17A5BF" w:rsidR="006C4368" w:rsidRDefault="006C4368" w:rsidP="004E073B">
      <w:pPr>
        <w:rPr>
          <w:lang w:eastAsia="en-AU" w:bidi="ar-SA"/>
        </w:rPr>
      </w:pPr>
      <w:r>
        <w:rPr>
          <w:lang w:eastAsia="en-AU" w:bidi="ar-SA"/>
        </w:rPr>
        <w:t xml:space="preserve">An </w:t>
      </w:r>
      <w:r w:rsidRPr="006C4368">
        <w:rPr>
          <w:i/>
          <w:lang w:eastAsia="en-AU" w:bidi="ar-SA"/>
        </w:rPr>
        <w:t>in silico</w:t>
      </w:r>
      <w:r>
        <w:rPr>
          <w:lang w:eastAsia="en-AU" w:bidi="ar-SA"/>
        </w:rPr>
        <w:t xml:space="preserve"> analysis was used to compare the amino acid sequence of triacylglycerol lipase with that of known allergens using the </w:t>
      </w:r>
      <w:hyperlink r:id="rId20" w:history="1">
        <w:r w:rsidRPr="005955A0">
          <w:rPr>
            <w:rStyle w:val="Hyperlink"/>
            <w:lang w:eastAsia="en-AU" w:bidi="ar-SA"/>
          </w:rPr>
          <w:t>Allergen Database for Food Safety</w:t>
        </w:r>
      </w:hyperlink>
      <w:r>
        <w:rPr>
          <w:lang w:eastAsia="en-AU" w:bidi="ar-SA"/>
        </w:rPr>
        <w:t xml:space="preserve">. </w:t>
      </w:r>
      <w:r w:rsidR="008147B1">
        <w:rPr>
          <w:lang w:eastAsia="en-AU" w:bidi="ar-SA"/>
        </w:rPr>
        <w:t xml:space="preserve">Searches were conducted to </w:t>
      </w:r>
      <w:r w:rsidR="005B11A6">
        <w:rPr>
          <w:lang w:eastAsia="en-AU" w:bidi="ar-SA"/>
        </w:rPr>
        <w:t>investigate whether there are matches for</w:t>
      </w:r>
      <w:r>
        <w:rPr>
          <w:lang w:eastAsia="en-AU" w:bidi="ar-SA"/>
        </w:rPr>
        <w:t xml:space="preserve">: </w:t>
      </w:r>
    </w:p>
    <w:p w14:paraId="6835845C" w14:textId="77777777" w:rsidR="006C4368" w:rsidRDefault="006C4368" w:rsidP="004E073B">
      <w:pPr>
        <w:rPr>
          <w:lang w:eastAsia="en-AU" w:bidi="ar-SA"/>
        </w:rPr>
      </w:pPr>
    </w:p>
    <w:p w14:paraId="1336C9DB" w14:textId="77777777" w:rsidR="006C4368" w:rsidRPr="008147B1" w:rsidRDefault="006C4368" w:rsidP="006C4368">
      <w:pPr>
        <w:pStyle w:val="FSBullet"/>
        <w:rPr>
          <w:lang w:eastAsia="en-AU" w:bidi="ar-SA"/>
        </w:rPr>
      </w:pPr>
      <w:r w:rsidRPr="006C4368">
        <w:rPr>
          <w:lang w:eastAsia="en-AU" w:bidi="ar-SA"/>
        </w:rPr>
        <w:t xml:space="preserve">more </w:t>
      </w:r>
      <w:r w:rsidRPr="008147B1">
        <w:rPr>
          <w:lang w:eastAsia="en-AU" w:bidi="ar-SA"/>
        </w:rPr>
        <w:t xml:space="preserve">than 35% identity in the amino acid sequence of the expressed protein, using a window of 80 amino acids and a suitable gap penalty, or </w:t>
      </w:r>
    </w:p>
    <w:p w14:paraId="671DA05D" w14:textId="702CB066" w:rsidR="00EA0482" w:rsidRPr="008147B1" w:rsidRDefault="006C4368" w:rsidP="006C4368">
      <w:pPr>
        <w:pStyle w:val="FSBullet"/>
        <w:rPr>
          <w:lang w:eastAsia="en-AU" w:bidi="ar-SA"/>
        </w:rPr>
      </w:pPr>
      <w:proofErr w:type="gramStart"/>
      <w:r w:rsidRPr="008147B1">
        <w:rPr>
          <w:lang w:eastAsia="en-AU" w:bidi="ar-SA"/>
        </w:rPr>
        <w:t>identity</w:t>
      </w:r>
      <w:proofErr w:type="gramEnd"/>
      <w:r w:rsidRPr="008147B1">
        <w:rPr>
          <w:lang w:eastAsia="en-AU" w:bidi="ar-SA"/>
        </w:rPr>
        <w:t xml:space="preserve"> of </w:t>
      </w:r>
      <w:r w:rsidR="00184878" w:rsidRPr="008147B1">
        <w:rPr>
          <w:lang w:eastAsia="en-AU" w:bidi="ar-SA"/>
        </w:rPr>
        <w:t>8</w:t>
      </w:r>
      <w:r w:rsidRPr="008147B1">
        <w:rPr>
          <w:lang w:eastAsia="en-AU" w:bidi="ar-SA"/>
        </w:rPr>
        <w:t xml:space="preserve"> contiguous amino acids</w:t>
      </w:r>
      <w:r w:rsidR="00F3289E">
        <w:rPr>
          <w:lang w:eastAsia="en-AU" w:bidi="ar-SA"/>
        </w:rPr>
        <w:t>.</w:t>
      </w:r>
    </w:p>
    <w:p w14:paraId="0E981316" w14:textId="2FA72E15" w:rsidR="006C4368" w:rsidRDefault="006C4368" w:rsidP="004E073B">
      <w:pPr>
        <w:rPr>
          <w:lang w:eastAsia="en-AU" w:bidi="ar-SA"/>
        </w:rPr>
      </w:pPr>
    </w:p>
    <w:p w14:paraId="3B9FAC1A" w14:textId="5FB1FAA8" w:rsidR="008147B1" w:rsidRDefault="008147B1" w:rsidP="004E073B">
      <w:pPr>
        <w:rPr>
          <w:lang w:eastAsia="en-AU" w:bidi="ar-SA"/>
        </w:rPr>
      </w:pPr>
      <w:r>
        <w:rPr>
          <w:lang w:eastAsia="en-AU" w:bidi="ar-SA"/>
        </w:rPr>
        <w:t xml:space="preserve">A further 80 amino acid alignment comparison was conducted using the </w:t>
      </w:r>
      <w:hyperlink r:id="rId21" w:history="1">
        <w:r w:rsidRPr="005955A0">
          <w:rPr>
            <w:rStyle w:val="Hyperlink"/>
            <w:lang w:eastAsia="en-AU" w:bidi="ar-SA"/>
          </w:rPr>
          <w:t>Allergen Online Database</w:t>
        </w:r>
      </w:hyperlink>
      <w:r>
        <w:rPr>
          <w:lang w:eastAsia="en-AU" w:bidi="ar-SA"/>
        </w:rPr>
        <w:t xml:space="preserve">. </w:t>
      </w:r>
      <w:r w:rsidR="00CF7BD1">
        <w:rPr>
          <w:lang w:eastAsia="en-AU" w:bidi="ar-SA"/>
        </w:rPr>
        <w:t xml:space="preserve">These homology assessments are </w:t>
      </w:r>
      <w:r w:rsidR="004E4D03">
        <w:rPr>
          <w:lang w:eastAsia="en-AU" w:bidi="ar-SA"/>
        </w:rPr>
        <w:t>consistent</w:t>
      </w:r>
      <w:r w:rsidR="00CF7BD1">
        <w:rPr>
          <w:lang w:eastAsia="en-AU" w:bidi="ar-SA"/>
        </w:rPr>
        <w:t xml:space="preserve"> with the recommendations of international organisations for screening of new food enzymes or </w:t>
      </w:r>
      <w:r w:rsidR="0036278F">
        <w:rPr>
          <w:lang w:eastAsia="en-AU" w:bidi="ar-SA"/>
        </w:rPr>
        <w:t xml:space="preserve">newly expressed proteins in genetically modified plants for potential </w:t>
      </w:r>
      <w:proofErr w:type="spellStart"/>
      <w:r w:rsidR="0036278F">
        <w:rPr>
          <w:lang w:eastAsia="en-AU" w:bidi="ar-SA"/>
        </w:rPr>
        <w:t>allergenicity</w:t>
      </w:r>
      <w:proofErr w:type="spellEnd"/>
      <w:r w:rsidR="0036278F">
        <w:rPr>
          <w:lang w:eastAsia="en-AU" w:bidi="ar-SA"/>
        </w:rPr>
        <w:t xml:space="preserve"> (FAO/WHO 2001; WHO 2016). </w:t>
      </w:r>
    </w:p>
    <w:p w14:paraId="6BB46DFF" w14:textId="77777777" w:rsidR="008147B1" w:rsidRDefault="008147B1" w:rsidP="004E073B">
      <w:pPr>
        <w:rPr>
          <w:lang w:eastAsia="en-AU" w:bidi="ar-SA"/>
        </w:rPr>
      </w:pPr>
    </w:p>
    <w:p w14:paraId="488EFAF1" w14:textId="388E43C7" w:rsidR="006C4368" w:rsidRDefault="004E4D03" w:rsidP="004E073B">
      <w:pPr>
        <w:rPr>
          <w:lang w:eastAsia="en-AU" w:bidi="ar-SA"/>
        </w:rPr>
      </w:pPr>
      <w:r>
        <w:rPr>
          <w:lang w:eastAsia="en-AU" w:bidi="ar-SA"/>
        </w:rPr>
        <w:t>T</w:t>
      </w:r>
      <w:r w:rsidR="008147B1">
        <w:rPr>
          <w:lang w:eastAsia="en-AU" w:bidi="ar-SA"/>
        </w:rPr>
        <w:t xml:space="preserve">he </w:t>
      </w:r>
      <w:r w:rsidR="00184878">
        <w:rPr>
          <w:lang w:eastAsia="en-AU" w:bidi="ar-SA"/>
        </w:rPr>
        <w:t>searches</w:t>
      </w:r>
      <w:r>
        <w:rPr>
          <w:lang w:eastAsia="en-AU" w:bidi="ar-SA"/>
        </w:rPr>
        <w:t xml:space="preserve"> did not</w:t>
      </w:r>
      <w:r w:rsidR="00184878">
        <w:rPr>
          <w:lang w:eastAsia="en-AU" w:bidi="ar-SA"/>
        </w:rPr>
        <w:t xml:space="preserve"> </w:t>
      </w:r>
      <w:r w:rsidR="008147B1">
        <w:rPr>
          <w:lang w:eastAsia="en-AU" w:bidi="ar-SA"/>
        </w:rPr>
        <w:t>identif</w:t>
      </w:r>
      <w:r>
        <w:rPr>
          <w:lang w:eastAsia="en-AU" w:bidi="ar-SA"/>
        </w:rPr>
        <w:t>y</w:t>
      </w:r>
      <w:r w:rsidR="00184878">
        <w:rPr>
          <w:lang w:eastAsia="en-AU" w:bidi="ar-SA"/>
        </w:rPr>
        <w:t xml:space="preserve"> </w:t>
      </w:r>
      <w:r w:rsidR="005B11A6">
        <w:rPr>
          <w:lang w:eastAsia="en-AU" w:bidi="ar-SA"/>
        </w:rPr>
        <w:t xml:space="preserve">any </w:t>
      </w:r>
      <w:r w:rsidR="00184878">
        <w:rPr>
          <w:lang w:eastAsia="en-AU" w:bidi="ar-SA"/>
        </w:rPr>
        <w:t>matches</w:t>
      </w:r>
      <w:r w:rsidR="003F09B8">
        <w:rPr>
          <w:lang w:eastAsia="en-AU" w:bidi="ar-SA"/>
        </w:rPr>
        <w:t xml:space="preserve"> with known allergens</w:t>
      </w:r>
      <w:r w:rsidR="008147B1">
        <w:rPr>
          <w:lang w:eastAsia="en-AU" w:bidi="ar-SA"/>
        </w:rPr>
        <w:t>.</w:t>
      </w:r>
    </w:p>
    <w:p w14:paraId="5DA72EC3" w14:textId="3BB828B4" w:rsidR="009222AE" w:rsidRPr="00C55A0F" w:rsidRDefault="009222AE" w:rsidP="00C55A0F">
      <w:pPr>
        <w:pStyle w:val="Heading4"/>
        <w:rPr>
          <w:i w:val="0"/>
          <w:lang w:eastAsia="en-AU"/>
        </w:rPr>
      </w:pPr>
      <w:r w:rsidRPr="009222AE">
        <w:rPr>
          <w:lang w:eastAsia="en-AU"/>
        </w:rPr>
        <w:t>History of use</w:t>
      </w:r>
    </w:p>
    <w:p w14:paraId="581E7606" w14:textId="7012E069" w:rsidR="003F09B8" w:rsidRDefault="003C213E" w:rsidP="004E073B">
      <w:pPr>
        <w:rPr>
          <w:lang w:eastAsia="en-AU" w:bidi="ar-SA"/>
        </w:rPr>
      </w:pPr>
      <w:r>
        <w:rPr>
          <w:lang w:eastAsia="en-AU" w:bidi="ar-SA"/>
        </w:rPr>
        <w:t>T</w:t>
      </w:r>
      <w:r w:rsidR="005A66AB">
        <w:rPr>
          <w:lang w:eastAsia="en-AU" w:bidi="ar-SA"/>
        </w:rPr>
        <w:t xml:space="preserve">riacylglycerol lipase from </w:t>
      </w:r>
      <w:r w:rsidR="005A66AB" w:rsidRPr="005A66AB">
        <w:rPr>
          <w:i/>
          <w:lang w:eastAsia="en-AU" w:bidi="ar-SA"/>
        </w:rPr>
        <w:t xml:space="preserve">C. </w:t>
      </w:r>
      <w:proofErr w:type="spellStart"/>
      <w:r w:rsidR="005A66AB" w:rsidRPr="005A66AB">
        <w:rPr>
          <w:i/>
          <w:lang w:eastAsia="en-AU" w:bidi="ar-SA"/>
        </w:rPr>
        <w:t>cylindracea</w:t>
      </w:r>
      <w:proofErr w:type="spellEnd"/>
      <w:r w:rsidR="005A66AB">
        <w:rPr>
          <w:lang w:eastAsia="en-AU" w:bidi="ar-SA"/>
        </w:rPr>
        <w:t xml:space="preserve"> has been used in a </w:t>
      </w:r>
      <w:r>
        <w:rPr>
          <w:lang w:eastAsia="en-AU" w:bidi="ar-SA"/>
        </w:rPr>
        <w:t>variety of industries including</w:t>
      </w:r>
      <w:r w:rsidR="005A66AB">
        <w:rPr>
          <w:lang w:eastAsia="en-AU" w:bidi="ar-SA"/>
        </w:rPr>
        <w:t xml:space="preserve"> </w:t>
      </w:r>
      <w:r>
        <w:rPr>
          <w:lang w:eastAsia="en-AU" w:bidi="ar-SA"/>
        </w:rPr>
        <w:t>the biomedical, cosmetic, detergent</w:t>
      </w:r>
      <w:r w:rsidR="005A66AB">
        <w:rPr>
          <w:lang w:eastAsia="en-AU" w:bidi="ar-SA"/>
        </w:rPr>
        <w:t xml:space="preserve"> and food</w:t>
      </w:r>
      <w:r>
        <w:rPr>
          <w:lang w:eastAsia="en-AU" w:bidi="ar-SA"/>
        </w:rPr>
        <w:t xml:space="preserve"> industries for many years (Hasan el al</w:t>
      </w:r>
      <w:r w:rsidR="008F416C">
        <w:rPr>
          <w:lang w:eastAsia="en-AU" w:bidi="ar-SA"/>
        </w:rPr>
        <w:t>.</w:t>
      </w:r>
      <w:r>
        <w:rPr>
          <w:lang w:eastAsia="en-AU" w:bidi="ar-SA"/>
        </w:rPr>
        <w:t xml:space="preserve"> 2006; Arnold et al</w:t>
      </w:r>
      <w:r w:rsidR="008F416C">
        <w:rPr>
          <w:lang w:eastAsia="en-AU" w:bidi="ar-SA"/>
        </w:rPr>
        <w:t>.</w:t>
      </w:r>
      <w:r>
        <w:rPr>
          <w:lang w:eastAsia="en-AU" w:bidi="ar-SA"/>
        </w:rPr>
        <w:t xml:space="preserve"> 1975; Pandey et al</w:t>
      </w:r>
      <w:r w:rsidR="008F416C">
        <w:rPr>
          <w:lang w:eastAsia="en-AU" w:bidi="ar-SA"/>
        </w:rPr>
        <w:t>.</w:t>
      </w:r>
      <w:r>
        <w:rPr>
          <w:lang w:eastAsia="en-AU" w:bidi="ar-SA"/>
        </w:rPr>
        <w:t xml:space="preserve"> 1999</w:t>
      </w:r>
      <w:r w:rsidR="00DF6CBD">
        <w:rPr>
          <w:lang w:eastAsia="en-AU" w:bidi="ar-SA"/>
        </w:rPr>
        <w:t>;</w:t>
      </w:r>
      <w:r w:rsidR="008E4833">
        <w:rPr>
          <w:lang w:eastAsia="en-AU" w:bidi="ar-SA"/>
        </w:rPr>
        <w:t xml:space="preserve"> EFSA 2014;</w:t>
      </w:r>
      <w:r w:rsidR="00DF6CBD">
        <w:rPr>
          <w:lang w:eastAsia="en-AU" w:bidi="ar-SA"/>
        </w:rPr>
        <w:t xml:space="preserve"> EFSA 2017</w:t>
      </w:r>
      <w:r>
        <w:rPr>
          <w:lang w:eastAsia="en-AU" w:bidi="ar-SA"/>
        </w:rPr>
        <w:t>)</w:t>
      </w:r>
      <w:r w:rsidR="005A66AB">
        <w:rPr>
          <w:lang w:eastAsia="en-AU" w:bidi="ar-SA"/>
        </w:rPr>
        <w:t xml:space="preserve">. No reports of safety </w:t>
      </w:r>
      <w:r w:rsidR="005A66AB">
        <w:rPr>
          <w:lang w:eastAsia="en-AU" w:bidi="ar-SA"/>
        </w:rPr>
        <w:lastRenderedPageBreak/>
        <w:t xml:space="preserve">concerns including </w:t>
      </w:r>
      <w:proofErr w:type="spellStart"/>
      <w:r w:rsidR="005A66AB">
        <w:rPr>
          <w:lang w:eastAsia="en-AU" w:bidi="ar-SA"/>
        </w:rPr>
        <w:t>allergenicity</w:t>
      </w:r>
      <w:proofErr w:type="spellEnd"/>
      <w:r w:rsidR="005A66AB">
        <w:rPr>
          <w:lang w:eastAsia="en-AU" w:bidi="ar-SA"/>
        </w:rPr>
        <w:t xml:space="preserve"> have been identified</w:t>
      </w:r>
      <w:r>
        <w:rPr>
          <w:lang w:eastAsia="en-AU" w:bidi="ar-SA"/>
        </w:rPr>
        <w:t>,</w:t>
      </w:r>
      <w:r w:rsidR="005A66AB">
        <w:rPr>
          <w:lang w:eastAsia="en-AU" w:bidi="ar-SA"/>
        </w:rPr>
        <w:t xml:space="preserve"> suggesting a history of safe use. </w:t>
      </w:r>
    </w:p>
    <w:p w14:paraId="1904F9E1" w14:textId="77777777" w:rsidR="008963A6" w:rsidRDefault="008963A6" w:rsidP="008963A6">
      <w:pPr>
        <w:rPr>
          <w:lang w:eastAsia="en-AU" w:bidi="ar-SA"/>
        </w:rPr>
      </w:pPr>
    </w:p>
    <w:p w14:paraId="489E4A03" w14:textId="7BFC4C38" w:rsidR="008963A6" w:rsidRPr="004E073B" w:rsidRDefault="008963A6" w:rsidP="008963A6">
      <w:pPr>
        <w:rPr>
          <w:lang w:eastAsia="en-AU" w:bidi="ar-SA"/>
        </w:rPr>
      </w:pPr>
      <w:r>
        <w:rPr>
          <w:lang w:eastAsia="en-AU" w:bidi="ar-SA"/>
        </w:rPr>
        <w:t xml:space="preserve">Overall, it is concluded that </w:t>
      </w:r>
      <w:r>
        <w:rPr>
          <w:rFonts w:eastAsia="Calibri"/>
          <w:color w:val="000000" w:themeColor="text1"/>
          <w:szCs w:val="22"/>
          <w:lang w:bidi="ar-SA"/>
        </w:rPr>
        <w:t xml:space="preserve">triacylglycerol lipase does not have the characteristics of a potential food allergen and ingestion of any residual triacylglycerol lipase in food products is unlikely to pose an </w:t>
      </w:r>
      <w:proofErr w:type="spellStart"/>
      <w:r>
        <w:rPr>
          <w:rFonts w:eastAsia="Calibri"/>
          <w:color w:val="000000" w:themeColor="text1"/>
          <w:szCs w:val="22"/>
          <w:lang w:bidi="ar-SA"/>
        </w:rPr>
        <w:t>allergenicity</w:t>
      </w:r>
      <w:proofErr w:type="spellEnd"/>
      <w:r>
        <w:rPr>
          <w:rFonts w:eastAsia="Calibri"/>
          <w:color w:val="000000" w:themeColor="text1"/>
          <w:szCs w:val="22"/>
          <w:lang w:bidi="ar-SA"/>
        </w:rPr>
        <w:t xml:space="preserve"> concern.</w:t>
      </w:r>
    </w:p>
    <w:p w14:paraId="1CB701B9" w14:textId="1A97F1B6" w:rsidR="009222AE" w:rsidRPr="009222AE" w:rsidRDefault="00AC185B" w:rsidP="00C55A0F">
      <w:pPr>
        <w:pStyle w:val="Heading4"/>
        <w:rPr>
          <w:lang w:eastAsia="en-AU"/>
        </w:rPr>
      </w:pPr>
      <w:r>
        <w:rPr>
          <w:lang w:eastAsia="en-AU"/>
        </w:rPr>
        <w:t>Other components</w:t>
      </w:r>
    </w:p>
    <w:p w14:paraId="364EE222" w14:textId="692EFE64" w:rsidR="0017452D" w:rsidRDefault="004E313B" w:rsidP="004E073B">
      <w:pPr>
        <w:rPr>
          <w:lang w:eastAsia="en-AU" w:bidi="ar-SA"/>
        </w:rPr>
      </w:pPr>
      <w:r>
        <w:rPr>
          <w:lang w:eastAsia="en-AU" w:bidi="ar-SA"/>
        </w:rPr>
        <w:t>Soybean oil is used in the fermentation media and is a potential food allergen. However</w:t>
      </w:r>
      <w:r w:rsidR="005B11A6">
        <w:rPr>
          <w:lang w:eastAsia="en-AU" w:bidi="ar-SA"/>
        </w:rPr>
        <w:t xml:space="preserve">, refined soybean oil is used and, as concluded in the risk assessment for the FSANZ proposal on exemptions from allergen labelling (P1031), fully refined soybean oil </w:t>
      </w:r>
      <w:r w:rsidR="005B11A6">
        <w:rPr>
          <w:szCs w:val="22"/>
        </w:rPr>
        <w:t xml:space="preserve">presents negligible risk to soybean allergic consumers. </w:t>
      </w:r>
      <w:r w:rsidR="0076455B">
        <w:rPr>
          <w:szCs w:val="22"/>
        </w:rPr>
        <w:t>In addition</w:t>
      </w:r>
      <w:r w:rsidR="005B11A6">
        <w:rPr>
          <w:szCs w:val="22"/>
        </w:rPr>
        <w:t xml:space="preserve">, </w:t>
      </w:r>
      <w:r w:rsidR="00A72FED">
        <w:rPr>
          <w:lang w:eastAsia="en-AU" w:bidi="ar-SA"/>
        </w:rPr>
        <w:t xml:space="preserve">analysis of triacylglycerol lipase indicates that </w:t>
      </w:r>
      <w:r w:rsidR="00404A2C">
        <w:rPr>
          <w:lang w:eastAsia="en-AU" w:bidi="ar-SA"/>
        </w:rPr>
        <w:t>soybean protein is</w:t>
      </w:r>
      <w:r w:rsidR="00A72FED">
        <w:rPr>
          <w:lang w:eastAsia="en-AU" w:bidi="ar-SA"/>
        </w:rPr>
        <w:t xml:space="preserve"> not detected above th</w:t>
      </w:r>
      <w:r w:rsidR="005B11A6">
        <w:rPr>
          <w:lang w:eastAsia="en-AU" w:bidi="ar-SA"/>
        </w:rPr>
        <w:t xml:space="preserve">e limit of detection of 1 mg/kg, and </w:t>
      </w:r>
      <w:r w:rsidR="00F03987">
        <w:rPr>
          <w:lang w:eastAsia="en-AU" w:bidi="ar-SA"/>
        </w:rPr>
        <w:t>the enzyme</w:t>
      </w:r>
      <w:r w:rsidR="00A72FED">
        <w:rPr>
          <w:lang w:eastAsia="en-AU" w:bidi="ar-SA"/>
        </w:rPr>
        <w:t xml:space="preserve"> is added at very low levels </w:t>
      </w:r>
      <w:r w:rsidR="00DB4508">
        <w:rPr>
          <w:lang w:eastAsia="en-AU" w:bidi="ar-SA"/>
        </w:rPr>
        <w:t xml:space="preserve">to foods </w:t>
      </w:r>
      <w:r w:rsidR="00A72FED">
        <w:rPr>
          <w:lang w:eastAsia="en-AU" w:bidi="ar-SA"/>
        </w:rPr>
        <w:t>(maximum 0.082%)</w:t>
      </w:r>
      <w:r w:rsidR="00AC185B">
        <w:rPr>
          <w:lang w:eastAsia="en-AU" w:bidi="ar-SA"/>
        </w:rPr>
        <w:t>. T</w:t>
      </w:r>
      <w:r w:rsidR="00A72FED">
        <w:rPr>
          <w:lang w:eastAsia="en-AU" w:bidi="ar-SA"/>
        </w:rPr>
        <w:t xml:space="preserve">herefore exposure to any potential residual soy allergens in final food products will be </w:t>
      </w:r>
      <w:r w:rsidR="0076455B">
        <w:rPr>
          <w:lang w:eastAsia="en-AU" w:bidi="ar-SA"/>
        </w:rPr>
        <w:t>very low</w:t>
      </w:r>
      <w:r w:rsidR="00A72FED">
        <w:rPr>
          <w:lang w:eastAsia="en-AU" w:bidi="ar-SA"/>
        </w:rPr>
        <w:t xml:space="preserve"> and is not likely to be of allergenic concern. </w:t>
      </w:r>
    </w:p>
    <w:p w14:paraId="43BC6744" w14:textId="5C256253" w:rsidR="00814242" w:rsidRPr="00962071" w:rsidRDefault="007020EF" w:rsidP="00D87973">
      <w:pPr>
        <w:pStyle w:val="Heading2"/>
      </w:pPr>
      <w:bookmarkStart w:id="35" w:name="_Toc485991982"/>
      <w:r w:rsidRPr="00962071">
        <w:t>3.5</w:t>
      </w:r>
      <w:r w:rsidR="00D87973">
        <w:tab/>
      </w:r>
      <w:r w:rsidR="00814242" w:rsidRPr="00962071">
        <w:t xml:space="preserve">Risk </w:t>
      </w:r>
      <w:r w:rsidR="00A325FF">
        <w:t>a</w:t>
      </w:r>
      <w:r w:rsidR="00814242" w:rsidRPr="00962071">
        <w:t>ssessment</w:t>
      </w:r>
      <w:r w:rsidR="00AC185B">
        <w:t xml:space="preserve"> </w:t>
      </w:r>
      <w:r w:rsidR="00FB1E59">
        <w:t>discussion and</w:t>
      </w:r>
      <w:r w:rsidR="00814242" w:rsidRPr="00962071">
        <w:t xml:space="preserve"> </w:t>
      </w:r>
      <w:r w:rsidR="00A325FF">
        <w:t>c</w:t>
      </w:r>
      <w:r w:rsidR="00814242" w:rsidRPr="00962071">
        <w:t>onclusions</w:t>
      </w:r>
      <w:bookmarkEnd w:id="35"/>
    </w:p>
    <w:p w14:paraId="517D611B" w14:textId="2E54AA73" w:rsidR="00F2791B" w:rsidRDefault="00F2791B" w:rsidP="00F2791B">
      <w:r>
        <w:t xml:space="preserve">There are no public health and safety concerns associated with the use of triacylglycerol lipase from </w:t>
      </w:r>
      <w:r w:rsidRPr="009665DA">
        <w:rPr>
          <w:i/>
        </w:rPr>
        <w:t>C</w:t>
      </w:r>
      <w:r w:rsidR="006D6663">
        <w:rPr>
          <w:i/>
        </w:rPr>
        <w:t>.</w:t>
      </w:r>
      <w:r w:rsidRPr="009665DA">
        <w:rPr>
          <w:i/>
        </w:rPr>
        <w:t xml:space="preserve"> </w:t>
      </w:r>
      <w:proofErr w:type="spellStart"/>
      <w:r w:rsidRPr="009665DA">
        <w:rPr>
          <w:i/>
        </w:rPr>
        <w:t>cylindracea</w:t>
      </w:r>
      <w:proofErr w:type="spellEnd"/>
      <w:r>
        <w:t xml:space="preserve"> as a food processing aid, on the basis of the following considerations: </w:t>
      </w:r>
    </w:p>
    <w:p w14:paraId="5203281E" w14:textId="77777777" w:rsidR="00F2791B" w:rsidRDefault="00F2791B" w:rsidP="00F2791B">
      <w:pPr>
        <w:rPr>
          <w:lang w:eastAsia="en-AU" w:bidi="ar-SA"/>
        </w:rPr>
      </w:pPr>
    </w:p>
    <w:p w14:paraId="5E26E289" w14:textId="48197B26" w:rsidR="00F2791B" w:rsidRDefault="00F2791B" w:rsidP="00C55A0F">
      <w:pPr>
        <w:pStyle w:val="FSBullet1"/>
        <w:rPr>
          <w:lang w:eastAsia="en-AU"/>
        </w:rPr>
      </w:pPr>
      <w:r>
        <w:rPr>
          <w:lang w:eastAsia="en-AU"/>
        </w:rPr>
        <w:t xml:space="preserve">The production organism is not toxigenic or pathogenic. </w:t>
      </w:r>
      <w:r w:rsidRPr="00DA2F8D">
        <w:rPr>
          <w:i/>
          <w:lang w:eastAsia="en-AU"/>
        </w:rPr>
        <w:t>C</w:t>
      </w:r>
      <w:r w:rsidR="006D6663">
        <w:rPr>
          <w:i/>
          <w:lang w:eastAsia="en-AU"/>
        </w:rPr>
        <w:t>.</w:t>
      </w:r>
      <w:r w:rsidRPr="00DA2F8D">
        <w:rPr>
          <w:i/>
          <w:lang w:eastAsia="en-AU"/>
        </w:rPr>
        <w:t xml:space="preserve"> </w:t>
      </w:r>
      <w:proofErr w:type="spellStart"/>
      <w:r w:rsidRPr="00DA2F8D">
        <w:rPr>
          <w:i/>
          <w:lang w:eastAsia="en-AU"/>
        </w:rPr>
        <w:t>cylindracea</w:t>
      </w:r>
      <w:proofErr w:type="spellEnd"/>
      <w:r>
        <w:rPr>
          <w:lang w:eastAsia="en-AU"/>
        </w:rPr>
        <w:t xml:space="preserve"> has a long history of safe use overseas in the production of lipases for a range of industrial purposes, including use as a food processing aid.</w:t>
      </w:r>
    </w:p>
    <w:p w14:paraId="14CD813B" w14:textId="77777777" w:rsidR="00F2791B" w:rsidRDefault="00F2791B" w:rsidP="00F2791B">
      <w:pPr>
        <w:rPr>
          <w:lang w:eastAsia="en-AU" w:bidi="ar-SA"/>
        </w:rPr>
      </w:pPr>
    </w:p>
    <w:p w14:paraId="2AE377A5" w14:textId="77777777" w:rsidR="00F2791B" w:rsidRDefault="00F2791B" w:rsidP="00C55A0F">
      <w:pPr>
        <w:pStyle w:val="FSBullet1"/>
        <w:rPr>
          <w:lang w:eastAsia="en-AU"/>
        </w:rPr>
      </w:pPr>
      <w:r>
        <w:rPr>
          <w:lang w:eastAsia="en-AU"/>
        </w:rPr>
        <w:t xml:space="preserve">Triacylglycerol lipase was not genotoxic </w:t>
      </w:r>
      <w:r w:rsidRPr="00DA2F8D">
        <w:rPr>
          <w:i/>
          <w:lang w:eastAsia="en-AU"/>
        </w:rPr>
        <w:t>in vitro</w:t>
      </w:r>
      <w:r>
        <w:rPr>
          <w:lang w:eastAsia="en-AU"/>
        </w:rPr>
        <w:t>.</w:t>
      </w:r>
    </w:p>
    <w:p w14:paraId="7371CC28" w14:textId="77777777" w:rsidR="00F2791B" w:rsidRDefault="00F2791B" w:rsidP="00F2791B">
      <w:pPr>
        <w:rPr>
          <w:lang w:eastAsia="en-AU" w:bidi="ar-SA"/>
        </w:rPr>
      </w:pPr>
    </w:p>
    <w:p w14:paraId="6FB204DA" w14:textId="6AA3507F" w:rsidR="00F2791B" w:rsidRDefault="00F2791B" w:rsidP="00C55A0F">
      <w:pPr>
        <w:pStyle w:val="FSBullet1"/>
        <w:rPr>
          <w:lang w:eastAsia="en-AU"/>
        </w:rPr>
      </w:pPr>
      <w:r>
        <w:rPr>
          <w:lang w:eastAsia="en-AU"/>
        </w:rPr>
        <w:t xml:space="preserve">The enzyme preparation caused no observable adverse effects. </w:t>
      </w:r>
      <w:r w:rsidRPr="00DA2F8D">
        <w:rPr>
          <w:rFonts w:eastAsia="Calibri"/>
        </w:rPr>
        <w:t xml:space="preserve">The no observed adverse effect level </w:t>
      </w:r>
      <w:r>
        <w:rPr>
          <w:rFonts w:eastAsia="Calibri"/>
        </w:rPr>
        <w:t xml:space="preserve">(NOAEL) </w:t>
      </w:r>
      <w:r w:rsidRPr="00DA2F8D">
        <w:rPr>
          <w:rFonts w:eastAsia="Calibri"/>
        </w:rPr>
        <w:t xml:space="preserve">in </w:t>
      </w:r>
      <w:r w:rsidR="00912FB4" w:rsidRPr="00912FB4">
        <w:rPr>
          <w:rFonts w:eastAsia="Calibri"/>
        </w:rPr>
        <w:t xml:space="preserve">a 13-week repeated dose oral toxicity study in rats </w:t>
      </w:r>
      <w:r w:rsidRPr="00DA2F8D">
        <w:rPr>
          <w:rFonts w:eastAsia="Calibri"/>
        </w:rPr>
        <w:t xml:space="preserve">was the highest dose tested and </w:t>
      </w:r>
      <w:r>
        <w:rPr>
          <w:lang w:eastAsia="en-AU"/>
        </w:rPr>
        <w:t>cor</w:t>
      </w:r>
      <w:r w:rsidR="00912FB4">
        <w:rPr>
          <w:lang w:eastAsia="en-AU"/>
        </w:rPr>
        <w:t xml:space="preserve">responds to 10,200 mg/kg </w:t>
      </w:r>
      <w:proofErr w:type="spellStart"/>
      <w:r w:rsidR="00912FB4">
        <w:rPr>
          <w:lang w:eastAsia="en-AU"/>
        </w:rPr>
        <w:t>bw</w:t>
      </w:r>
      <w:proofErr w:type="spellEnd"/>
      <w:r w:rsidR="00912FB4">
        <w:rPr>
          <w:lang w:eastAsia="en-AU"/>
        </w:rPr>
        <w:t>/day or</w:t>
      </w:r>
      <w:r>
        <w:rPr>
          <w:lang w:eastAsia="en-AU"/>
        </w:rPr>
        <w:t xml:space="preserve"> </w:t>
      </w:r>
      <w:r w:rsidR="00912FB4">
        <w:rPr>
          <w:lang w:eastAsia="en-AU"/>
        </w:rPr>
        <w:t xml:space="preserve">581 mg TOS/kg </w:t>
      </w:r>
      <w:proofErr w:type="spellStart"/>
      <w:r w:rsidR="00912FB4">
        <w:rPr>
          <w:lang w:eastAsia="en-AU"/>
        </w:rPr>
        <w:t>bw</w:t>
      </w:r>
      <w:proofErr w:type="spellEnd"/>
      <w:r w:rsidR="00912FB4">
        <w:rPr>
          <w:lang w:eastAsia="en-AU"/>
        </w:rPr>
        <w:t>/day. This is more than 5000-</w:t>
      </w:r>
      <w:r w:rsidR="009F51C9" w:rsidRPr="009F51C9">
        <w:rPr>
          <w:lang w:eastAsia="en-AU"/>
        </w:rPr>
        <w:t>fold higher than the Applicant’s estimate of an individual’s theoretical maximal daily intake</w:t>
      </w:r>
      <w:r w:rsidR="009F51C9">
        <w:rPr>
          <w:lang w:eastAsia="en-AU"/>
        </w:rPr>
        <w:t xml:space="preserve"> (0.102 mg TOS/kg </w:t>
      </w:r>
      <w:proofErr w:type="spellStart"/>
      <w:r w:rsidR="009F51C9">
        <w:rPr>
          <w:lang w:eastAsia="en-AU"/>
        </w:rPr>
        <w:t>bw</w:t>
      </w:r>
      <w:proofErr w:type="spellEnd"/>
      <w:r w:rsidR="009F51C9">
        <w:rPr>
          <w:lang w:eastAsia="en-AU"/>
        </w:rPr>
        <w:t>/day) based on the proposed uses in baking, milk and dairy processing, and fats and oil processing</w:t>
      </w:r>
      <w:r w:rsidR="008D5D4D">
        <w:rPr>
          <w:lang w:eastAsia="en-AU"/>
        </w:rPr>
        <w:t>, as stated in the Application</w:t>
      </w:r>
      <w:r w:rsidR="009F51C9">
        <w:rPr>
          <w:lang w:eastAsia="en-AU"/>
        </w:rPr>
        <w:t>.</w:t>
      </w:r>
    </w:p>
    <w:p w14:paraId="1B7115CF" w14:textId="77777777" w:rsidR="00F2791B" w:rsidRDefault="00F2791B" w:rsidP="00F2791B">
      <w:pPr>
        <w:widowControl/>
        <w:rPr>
          <w:lang w:eastAsia="en-AU" w:bidi="ar-SA"/>
        </w:rPr>
      </w:pPr>
    </w:p>
    <w:p w14:paraId="5C5E6E5B" w14:textId="6D5ACE37" w:rsidR="00F2791B" w:rsidRDefault="00F2791B" w:rsidP="00C55A0F">
      <w:pPr>
        <w:pStyle w:val="FSBullet1"/>
        <w:rPr>
          <w:lang w:eastAsia="en-AU"/>
        </w:rPr>
      </w:pPr>
      <w:r>
        <w:rPr>
          <w:lang w:eastAsia="en-AU"/>
        </w:rPr>
        <w:t xml:space="preserve">Triacylglycerol lipase from </w:t>
      </w:r>
      <w:r w:rsidRPr="00DA2F8D">
        <w:rPr>
          <w:i/>
          <w:lang w:eastAsia="en-AU"/>
        </w:rPr>
        <w:t>C</w:t>
      </w:r>
      <w:r w:rsidR="006D6663">
        <w:rPr>
          <w:i/>
          <w:lang w:eastAsia="en-AU"/>
        </w:rPr>
        <w:t>.</w:t>
      </w:r>
      <w:r w:rsidRPr="00DA2F8D">
        <w:rPr>
          <w:i/>
          <w:lang w:eastAsia="en-AU"/>
        </w:rPr>
        <w:t xml:space="preserve"> </w:t>
      </w:r>
      <w:proofErr w:type="spellStart"/>
      <w:r w:rsidRPr="00DA2F8D">
        <w:rPr>
          <w:i/>
          <w:lang w:eastAsia="en-AU"/>
        </w:rPr>
        <w:t>cylindracea</w:t>
      </w:r>
      <w:proofErr w:type="spellEnd"/>
      <w:r>
        <w:rPr>
          <w:lang w:eastAsia="en-AU"/>
        </w:rPr>
        <w:t xml:space="preserve"> does not share amino acid sequence homology with any known allergens. No reports of allergenic concerns resulting from use overseas have been identified. </w:t>
      </w:r>
    </w:p>
    <w:p w14:paraId="2DBC6FD4" w14:textId="77777777" w:rsidR="00F2791B" w:rsidRDefault="00F2791B" w:rsidP="00F2791B">
      <w:pPr>
        <w:widowControl/>
        <w:rPr>
          <w:lang w:eastAsia="en-AU" w:bidi="ar-SA"/>
        </w:rPr>
      </w:pPr>
    </w:p>
    <w:p w14:paraId="311AD888" w14:textId="77777777" w:rsidR="00F2791B" w:rsidRDefault="00F2791B" w:rsidP="00F2791B">
      <w:pPr>
        <w:widowControl/>
        <w:rPr>
          <w:rFonts w:eastAsia="Calibri"/>
          <w:color w:val="000000" w:themeColor="text1"/>
          <w:szCs w:val="22"/>
          <w:lang w:bidi="ar-SA"/>
        </w:rPr>
      </w:pPr>
      <w:r>
        <w:rPr>
          <w:lang w:eastAsia="en-AU" w:bidi="ar-SA"/>
        </w:rPr>
        <w:t xml:space="preserve">Based on the reviewed toxicological data it is concluded that in the absence of any identifiable hazard </w:t>
      </w:r>
      <w:proofErr w:type="gramStart"/>
      <w:r>
        <w:rPr>
          <w:lang w:eastAsia="en-AU" w:bidi="ar-SA"/>
        </w:rPr>
        <w:t>an</w:t>
      </w:r>
      <w:proofErr w:type="gramEnd"/>
      <w:r>
        <w:rPr>
          <w:lang w:eastAsia="en-AU" w:bidi="ar-SA"/>
        </w:rPr>
        <w:t xml:space="preserve"> Acceptable Daily Intake (ADI) ‘not specified’ is appropriate. A dietary exposure assessment was therefore not required. </w:t>
      </w:r>
    </w:p>
    <w:p w14:paraId="1B858082" w14:textId="5D94C0FE" w:rsidR="00A325FF" w:rsidRDefault="00D87973" w:rsidP="00D87973">
      <w:pPr>
        <w:pStyle w:val="Heading1"/>
      </w:pPr>
      <w:bookmarkStart w:id="36" w:name="_Toc408468977"/>
      <w:bookmarkStart w:id="37" w:name="_Toc438728472"/>
      <w:bookmarkStart w:id="38" w:name="_Toc485991983"/>
      <w:r>
        <w:t>4</w:t>
      </w:r>
      <w:r>
        <w:tab/>
      </w:r>
      <w:r w:rsidR="00A325FF" w:rsidRPr="006014F1">
        <w:t>Conclusion</w:t>
      </w:r>
      <w:bookmarkEnd w:id="36"/>
      <w:bookmarkEnd w:id="37"/>
      <w:bookmarkEnd w:id="38"/>
    </w:p>
    <w:p w14:paraId="3F1B6E53" w14:textId="00E65573" w:rsidR="00D87973" w:rsidRPr="00D87973" w:rsidRDefault="00D87973" w:rsidP="00D87973">
      <w:r w:rsidRPr="00D87973">
        <w:t xml:space="preserve">This risk and technical assessment considered the technological suitability, potential hazard of the </w:t>
      </w:r>
      <w:r>
        <w:t xml:space="preserve">enzyme and source </w:t>
      </w:r>
      <w:r w:rsidRPr="00D87973">
        <w:t xml:space="preserve">microorganism including potential </w:t>
      </w:r>
      <w:proofErr w:type="spellStart"/>
      <w:r w:rsidRPr="00D87973">
        <w:t>allergenicity</w:t>
      </w:r>
      <w:proofErr w:type="spellEnd"/>
      <w:r w:rsidRPr="00D87973">
        <w:t>.</w:t>
      </w:r>
    </w:p>
    <w:p w14:paraId="1A64496F" w14:textId="77777777" w:rsidR="00D87973" w:rsidRPr="00D87973" w:rsidRDefault="00D87973" w:rsidP="00D87973"/>
    <w:p w14:paraId="2CCB50CE" w14:textId="68C0BB68" w:rsidR="000C7205" w:rsidRPr="000C7205" w:rsidRDefault="00D87973" w:rsidP="00D87973">
      <w:pPr>
        <w:rPr>
          <w:lang w:bidi="ar-SA"/>
        </w:rPr>
      </w:pPr>
      <w:r w:rsidRPr="00D87973">
        <w:t xml:space="preserve">It </w:t>
      </w:r>
      <w:r w:rsidR="003406CA">
        <w:t>wa</w:t>
      </w:r>
      <w:r w:rsidRPr="00D87973">
        <w:t>s concluded that the proposed use of the enzyme is technologically justified in the form and prescribed amounts</w:t>
      </w:r>
      <w:r w:rsidR="00C20E27">
        <w:t xml:space="preserve"> as a processing aid</w:t>
      </w:r>
      <w:r w:rsidRPr="00D87973">
        <w:t xml:space="preserve"> and has been demonstrated to be effective. The evidence presented is sufficient to determine that </w:t>
      </w:r>
      <w:r>
        <w:rPr>
          <w:lang w:bidi="ar-SA"/>
        </w:rPr>
        <w:t xml:space="preserve">triacylglycerol lipase derived from </w:t>
      </w:r>
      <w:r w:rsidRPr="00BF787C">
        <w:rPr>
          <w:i/>
          <w:lang w:bidi="ar-SA"/>
        </w:rPr>
        <w:t>C</w:t>
      </w:r>
      <w:r>
        <w:rPr>
          <w:i/>
          <w:lang w:bidi="ar-SA"/>
        </w:rPr>
        <w:t>.</w:t>
      </w:r>
      <w:r w:rsidR="00C55A0F">
        <w:rPr>
          <w:i/>
          <w:lang w:bidi="ar-SA"/>
        </w:rPr>
        <w:t> </w:t>
      </w:r>
      <w:proofErr w:type="spellStart"/>
      <w:r w:rsidRPr="00BF787C">
        <w:rPr>
          <w:i/>
          <w:lang w:bidi="ar-SA"/>
        </w:rPr>
        <w:t>cylindracea</w:t>
      </w:r>
      <w:proofErr w:type="spellEnd"/>
      <w:r w:rsidRPr="00D87973">
        <w:rPr>
          <w:i/>
          <w:color w:val="000000" w:themeColor="text1"/>
        </w:rPr>
        <w:t xml:space="preserve"> </w:t>
      </w:r>
      <w:r w:rsidRPr="00D87973">
        <w:rPr>
          <w:color w:val="000000" w:themeColor="text1"/>
        </w:rPr>
        <w:t xml:space="preserve">is unlikely to pose </w:t>
      </w:r>
      <w:r w:rsidR="00CF3BE0">
        <w:rPr>
          <w:color w:val="000000" w:themeColor="text1"/>
        </w:rPr>
        <w:t>a public health and safety concern</w:t>
      </w:r>
      <w:r w:rsidRPr="00D87973">
        <w:rPr>
          <w:color w:val="000000" w:themeColor="text1"/>
        </w:rPr>
        <w:t xml:space="preserve"> when used as a food </w:t>
      </w:r>
      <w:r w:rsidRPr="00D87973">
        <w:rPr>
          <w:color w:val="000000" w:themeColor="text1"/>
        </w:rPr>
        <w:lastRenderedPageBreak/>
        <w:t>processing aid</w:t>
      </w:r>
      <w:r>
        <w:rPr>
          <w:color w:val="000000" w:themeColor="text1"/>
        </w:rPr>
        <w:t>.</w:t>
      </w:r>
    </w:p>
    <w:p w14:paraId="09FEC50B" w14:textId="1BBCAB0B" w:rsidR="00853CFC" w:rsidRDefault="001E68B1" w:rsidP="000C7205">
      <w:pPr>
        <w:pStyle w:val="Heading1"/>
        <w:keepNext w:val="0"/>
        <w:rPr>
          <w:rFonts w:eastAsia="Calibri"/>
        </w:rPr>
      </w:pPr>
      <w:bookmarkStart w:id="39" w:name="_Toc485991984"/>
      <w:r w:rsidRPr="001E68B1">
        <w:rPr>
          <w:rFonts w:eastAsia="Calibri"/>
        </w:rPr>
        <w:t>References</w:t>
      </w:r>
      <w:bookmarkEnd w:id="39"/>
    </w:p>
    <w:p w14:paraId="23C418C4" w14:textId="71F0A1CA" w:rsidR="00954FBA" w:rsidRDefault="00954FBA" w:rsidP="000C7205">
      <w:pPr>
        <w:rPr>
          <w:sz w:val="20"/>
          <w:szCs w:val="20"/>
        </w:rPr>
      </w:pPr>
      <w:proofErr w:type="gramStart"/>
      <w:r>
        <w:rPr>
          <w:sz w:val="20"/>
          <w:szCs w:val="20"/>
        </w:rPr>
        <w:t xml:space="preserve">Arnold RG, </w:t>
      </w:r>
      <w:proofErr w:type="spellStart"/>
      <w:r>
        <w:rPr>
          <w:sz w:val="20"/>
          <w:szCs w:val="20"/>
        </w:rPr>
        <w:t>Shahani</w:t>
      </w:r>
      <w:proofErr w:type="spellEnd"/>
      <w:r>
        <w:rPr>
          <w:sz w:val="20"/>
          <w:szCs w:val="20"/>
        </w:rPr>
        <w:t xml:space="preserve"> KM and </w:t>
      </w:r>
      <w:proofErr w:type="spellStart"/>
      <w:r>
        <w:rPr>
          <w:sz w:val="20"/>
          <w:szCs w:val="20"/>
        </w:rPr>
        <w:t>Dwivedi</w:t>
      </w:r>
      <w:proofErr w:type="spellEnd"/>
      <w:r>
        <w:rPr>
          <w:sz w:val="20"/>
          <w:szCs w:val="20"/>
        </w:rPr>
        <w:t xml:space="preserve"> BK (195) Application of </w:t>
      </w:r>
      <w:proofErr w:type="spellStart"/>
      <w:r>
        <w:rPr>
          <w:sz w:val="20"/>
          <w:szCs w:val="20"/>
        </w:rPr>
        <w:t>lipolytic</w:t>
      </w:r>
      <w:proofErr w:type="spellEnd"/>
      <w:r>
        <w:rPr>
          <w:sz w:val="20"/>
          <w:szCs w:val="20"/>
        </w:rPr>
        <w:t xml:space="preserve"> enzymes to flavour development of dairy products.</w:t>
      </w:r>
      <w:proofErr w:type="gramEnd"/>
      <w:r>
        <w:rPr>
          <w:sz w:val="20"/>
          <w:szCs w:val="20"/>
        </w:rPr>
        <w:t xml:space="preserve"> Journal of Dairy Science 58(8):1127-1143</w:t>
      </w:r>
    </w:p>
    <w:p w14:paraId="053E51DC" w14:textId="77777777" w:rsidR="00954FBA" w:rsidRDefault="00954FBA" w:rsidP="000C7205">
      <w:pPr>
        <w:rPr>
          <w:sz w:val="20"/>
          <w:szCs w:val="20"/>
        </w:rPr>
      </w:pPr>
    </w:p>
    <w:p w14:paraId="1FF61F04" w14:textId="449AE48A" w:rsidR="000C7205" w:rsidRDefault="000C7205" w:rsidP="000C7205">
      <w:pPr>
        <w:rPr>
          <w:sz w:val="20"/>
          <w:szCs w:val="20"/>
        </w:rPr>
      </w:pPr>
      <w:proofErr w:type="spellStart"/>
      <w:r>
        <w:rPr>
          <w:sz w:val="20"/>
          <w:szCs w:val="20"/>
        </w:rPr>
        <w:t>B</w:t>
      </w:r>
      <w:r>
        <w:rPr>
          <w:rFonts w:cs="Arial"/>
          <w:sz w:val="20"/>
          <w:szCs w:val="20"/>
        </w:rPr>
        <w:t>á</w:t>
      </w:r>
      <w:r>
        <w:rPr>
          <w:sz w:val="20"/>
          <w:szCs w:val="20"/>
        </w:rPr>
        <w:t>rcenas</w:t>
      </w:r>
      <w:proofErr w:type="spellEnd"/>
      <w:r>
        <w:rPr>
          <w:sz w:val="20"/>
          <w:szCs w:val="20"/>
        </w:rPr>
        <w:t xml:space="preserve"> ME, </w:t>
      </w:r>
      <w:proofErr w:type="spellStart"/>
      <w:r>
        <w:rPr>
          <w:sz w:val="20"/>
          <w:szCs w:val="20"/>
        </w:rPr>
        <w:t>Haros</w:t>
      </w:r>
      <w:proofErr w:type="spellEnd"/>
      <w:r>
        <w:rPr>
          <w:sz w:val="20"/>
          <w:szCs w:val="20"/>
        </w:rPr>
        <w:t xml:space="preserve"> M, </w:t>
      </w:r>
      <w:proofErr w:type="spellStart"/>
      <w:r>
        <w:rPr>
          <w:sz w:val="20"/>
          <w:szCs w:val="20"/>
        </w:rPr>
        <w:t>Rosell</w:t>
      </w:r>
      <w:proofErr w:type="spellEnd"/>
      <w:r>
        <w:rPr>
          <w:sz w:val="20"/>
          <w:szCs w:val="20"/>
        </w:rPr>
        <w:t xml:space="preserve"> CM (2003) </w:t>
      </w:r>
      <w:proofErr w:type="gramStart"/>
      <w:r>
        <w:rPr>
          <w:sz w:val="20"/>
          <w:szCs w:val="20"/>
        </w:rPr>
        <w:t>An</w:t>
      </w:r>
      <w:proofErr w:type="gramEnd"/>
      <w:r>
        <w:rPr>
          <w:sz w:val="20"/>
          <w:szCs w:val="20"/>
        </w:rPr>
        <w:t xml:space="preserve"> approach to studying the effect of different bread improvers on the staling of pre-baked frozen bread. European Food Research and Technology 218(1):56-61</w:t>
      </w:r>
    </w:p>
    <w:p w14:paraId="40109E17" w14:textId="503105EA" w:rsidR="000C7205" w:rsidRDefault="000C7205" w:rsidP="000C7205">
      <w:pPr>
        <w:rPr>
          <w:sz w:val="20"/>
          <w:szCs w:val="20"/>
        </w:rPr>
      </w:pPr>
    </w:p>
    <w:p w14:paraId="03BCD267" w14:textId="09A43A10" w:rsidR="00194838" w:rsidRDefault="00194838" w:rsidP="000C7205">
      <w:pPr>
        <w:rPr>
          <w:sz w:val="20"/>
          <w:szCs w:val="20"/>
        </w:rPr>
      </w:pPr>
      <w:r w:rsidRPr="00194838">
        <w:rPr>
          <w:sz w:val="20"/>
          <w:szCs w:val="20"/>
        </w:rPr>
        <w:t>EFSA BIOHAZ Panel (EFSA Panel on Biological Hazards)</w:t>
      </w:r>
      <w:r>
        <w:rPr>
          <w:sz w:val="20"/>
          <w:szCs w:val="20"/>
        </w:rPr>
        <w:t xml:space="preserve"> (2014) </w:t>
      </w:r>
      <w:r w:rsidRPr="00194838">
        <w:rPr>
          <w:sz w:val="20"/>
          <w:szCs w:val="20"/>
        </w:rPr>
        <w:t>Statement on the update of the list of QPS-recommended biological agents intentionally added to food or feed as notified to EFSA 1: Suitability of taxonomic units notified to EFSA until October 2014</w:t>
      </w:r>
      <w:r>
        <w:rPr>
          <w:sz w:val="20"/>
          <w:szCs w:val="20"/>
        </w:rPr>
        <w:t>. EFSA Journal 12(12):3938</w:t>
      </w:r>
    </w:p>
    <w:p w14:paraId="79253243" w14:textId="77777777" w:rsidR="00194838" w:rsidRDefault="00194838" w:rsidP="00B12E94">
      <w:pPr>
        <w:rPr>
          <w:sz w:val="20"/>
          <w:szCs w:val="20"/>
        </w:rPr>
      </w:pPr>
    </w:p>
    <w:p w14:paraId="40D07119" w14:textId="0E180E1F" w:rsidR="00B12E94" w:rsidRDefault="00194838" w:rsidP="00B12E94">
      <w:pPr>
        <w:rPr>
          <w:sz w:val="20"/>
          <w:szCs w:val="20"/>
        </w:rPr>
      </w:pPr>
      <w:proofErr w:type="gramStart"/>
      <w:r w:rsidRPr="00194838">
        <w:rPr>
          <w:sz w:val="20"/>
          <w:szCs w:val="20"/>
        </w:rPr>
        <w:t>EFSA BIOHAZ Panel (EFSA Panel on Biological Hazards)</w:t>
      </w:r>
      <w:r w:rsidR="00B12E94">
        <w:rPr>
          <w:sz w:val="20"/>
          <w:szCs w:val="20"/>
        </w:rPr>
        <w:t xml:space="preserve"> (2017) </w:t>
      </w:r>
      <w:r w:rsidR="00B12E94" w:rsidRPr="00B12E94">
        <w:rPr>
          <w:sz w:val="20"/>
          <w:szCs w:val="20"/>
        </w:rPr>
        <w:t>Scientific Opinion on the update of the list of</w:t>
      </w:r>
      <w:r w:rsidR="00B12E94">
        <w:rPr>
          <w:sz w:val="20"/>
          <w:szCs w:val="20"/>
        </w:rPr>
        <w:t xml:space="preserve"> </w:t>
      </w:r>
      <w:r w:rsidR="00B12E94" w:rsidRPr="00B12E94">
        <w:rPr>
          <w:sz w:val="20"/>
          <w:szCs w:val="20"/>
        </w:rPr>
        <w:t>QPS-recommended biological agents intentionally added to</w:t>
      </w:r>
      <w:r w:rsidR="00B12E94">
        <w:rPr>
          <w:sz w:val="20"/>
          <w:szCs w:val="20"/>
        </w:rPr>
        <w:t xml:space="preserve"> </w:t>
      </w:r>
      <w:r w:rsidR="00B12E94" w:rsidRPr="00B12E94">
        <w:rPr>
          <w:sz w:val="20"/>
          <w:szCs w:val="20"/>
        </w:rPr>
        <w:t>food or feed as notified to EFSA</w:t>
      </w:r>
      <w:r w:rsidR="00B12E94">
        <w:rPr>
          <w:sz w:val="20"/>
          <w:szCs w:val="20"/>
        </w:rPr>
        <w:t>.</w:t>
      </w:r>
      <w:proofErr w:type="gramEnd"/>
      <w:r w:rsidR="00B12E94">
        <w:rPr>
          <w:sz w:val="20"/>
          <w:szCs w:val="20"/>
        </w:rPr>
        <w:t xml:space="preserve"> EFSA Journal 15</w:t>
      </w:r>
      <w:r>
        <w:rPr>
          <w:sz w:val="20"/>
          <w:szCs w:val="20"/>
        </w:rPr>
        <w:t>(3)</w:t>
      </w:r>
      <w:r w:rsidR="00B12E94">
        <w:rPr>
          <w:sz w:val="20"/>
          <w:szCs w:val="20"/>
        </w:rPr>
        <w:t>:4664</w:t>
      </w:r>
    </w:p>
    <w:p w14:paraId="49AAE52B" w14:textId="505014B5" w:rsidR="007E55DD" w:rsidRDefault="007E55DD" w:rsidP="00B12E94">
      <w:pPr>
        <w:rPr>
          <w:sz w:val="20"/>
          <w:szCs w:val="20"/>
        </w:rPr>
      </w:pPr>
    </w:p>
    <w:p w14:paraId="2B373D12" w14:textId="79238809" w:rsidR="007E55DD" w:rsidRDefault="007E55DD" w:rsidP="00B12E94">
      <w:pPr>
        <w:rPr>
          <w:sz w:val="20"/>
          <w:szCs w:val="20"/>
        </w:rPr>
      </w:pPr>
      <w:proofErr w:type="gramStart"/>
      <w:r w:rsidRPr="007E55DD">
        <w:rPr>
          <w:sz w:val="20"/>
          <w:szCs w:val="20"/>
        </w:rPr>
        <w:t xml:space="preserve">FAO/WHO (2001) Evaluation of </w:t>
      </w:r>
      <w:proofErr w:type="spellStart"/>
      <w:r w:rsidRPr="007E55DD">
        <w:rPr>
          <w:sz w:val="20"/>
          <w:szCs w:val="20"/>
        </w:rPr>
        <w:t>allergenicity</w:t>
      </w:r>
      <w:proofErr w:type="spellEnd"/>
      <w:r w:rsidRPr="007E55DD">
        <w:rPr>
          <w:sz w:val="20"/>
          <w:szCs w:val="20"/>
        </w:rPr>
        <w:t xml:space="preserve"> of genetically modified foods.</w:t>
      </w:r>
      <w:proofErr w:type="gramEnd"/>
      <w:r w:rsidRPr="007E55DD">
        <w:rPr>
          <w:sz w:val="20"/>
          <w:szCs w:val="20"/>
        </w:rPr>
        <w:t xml:space="preserve"> Report of a Joint FAO/WHO Expert Consultation on </w:t>
      </w:r>
      <w:proofErr w:type="spellStart"/>
      <w:r w:rsidRPr="007E55DD">
        <w:rPr>
          <w:sz w:val="20"/>
          <w:szCs w:val="20"/>
        </w:rPr>
        <w:t>Allergenicity</w:t>
      </w:r>
      <w:proofErr w:type="spellEnd"/>
      <w:r w:rsidRPr="007E55DD">
        <w:rPr>
          <w:sz w:val="20"/>
          <w:szCs w:val="20"/>
        </w:rPr>
        <w:t xml:space="preserve"> of Foods Derived from Biotechnology, 22–25 January 2001. Rome: Food and Agriculture Organization of the United Nations and World Health Organization </w:t>
      </w:r>
      <w:hyperlink r:id="rId22" w:history="1">
        <w:r w:rsidRPr="00544B0F">
          <w:rPr>
            <w:rStyle w:val="Hyperlink"/>
            <w:sz w:val="20"/>
            <w:szCs w:val="20"/>
          </w:rPr>
          <w:t>http://www.who.int/foodsafety/publications/biotech/en/ec_jan2001.pdf</w:t>
        </w:r>
      </w:hyperlink>
      <w:r>
        <w:rPr>
          <w:sz w:val="20"/>
          <w:szCs w:val="20"/>
        </w:rPr>
        <w:t xml:space="preserve"> Accessed 28 March 2017</w:t>
      </w:r>
    </w:p>
    <w:p w14:paraId="19796B4D" w14:textId="1489F49D" w:rsidR="00B12E94" w:rsidRDefault="00B12E94" w:rsidP="00B12E94">
      <w:pPr>
        <w:rPr>
          <w:sz w:val="20"/>
          <w:szCs w:val="20"/>
        </w:rPr>
      </w:pPr>
    </w:p>
    <w:p w14:paraId="588DB6B0" w14:textId="013530F0" w:rsidR="000C7205" w:rsidRDefault="000C7205" w:rsidP="000C7205">
      <w:pPr>
        <w:rPr>
          <w:rFonts w:ascii="Verdana" w:hAnsi="Verdana"/>
          <w:sz w:val="18"/>
          <w:szCs w:val="18"/>
        </w:rPr>
      </w:pPr>
      <w:r>
        <w:rPr>
          <w:sz w:val="20"/>
          <w:szCs w:val="20"/>
        </w:rPr>
        <w:t xml:space="preserve">Ferreira-Dias S, Sandoval G, </w:t>
      </w:r>
      <w:proofErr w:type="spellStart"/>
      <w:r>
        <w:rPr>
          <w:sz w:val="20"/>
          <w:szCs w:val="20"/>
        </w:rPr>
        <w:t>Plou</w:t>
      </w:r>
      <w:proofErr w:type="spellEnd"/>
      <w:r>
        <w:rPr>
          <w:sz w:val="20"/>
          <w:szCs w:val="20"/>
        </w:rPr>
        <w:t xml:space="preserve"> F, Valero F (2013) </w:t>
      </w:r>
      <w:proofErr w:type="gramStart"/>
      <w:r>
        <w:rPr>
          <w:sz w:val="20"/>
          <w:szCs w:val="20"/>
        </w:rPr>
        <w:t>The</w:t>
      </w:r>
      <w:proofErr w:type="gramEnd"/>
      <w:r>
        <w:rPr>
          <w:sz w:val="20"/>
          <w:szCs w:val="20"/>
        </w:rPr>
        <w:t xml:space="preserve"> potential use of lipases in the production of fatty acid derivatives for the food and nutraceutical industries. Electronic Journal of Biotechnology </w:t>
      </w:r>
      <w:r>
        <w:rPr>
          <w:rFonts w:ascii="Verdana" w:hAnsi="Verdana"/>
          <w:sz w:val="18"/>
          <w:szCs w:val="18"/>
        </w:rPr>
        <w:t xml:space="preserve">14 </w:t>
      </w:r>
      <w:r w:rsidRPr="000C7205">
        <w:rPr>
          <w:sz w:val="20"/>
          <w:szCs w:val="20"/>
        </w:rPr>
        <w:t xml:space="preserve">May 2013, vol. 16, no. </w:t>
      </w:r>
      <w:proofErr w:type="gramStart"/>
      <w:r w:rsidRPr="000C7205">
        <w:rPr>
          <w:sz w:val="20"/>
          <w:szCs w:val="20"/>
        </w:rPr>
        <w:t>3</w:t>
      </w:r>
      <w:r>
        <w:rPr>
          <w:sz w:val="20"/>
          <w:szCs w:val="20"/>
        </w:rPr>
        <w:t xml:space="preserve"> </w:t>
      </w:r>
      <w:r w:rsidRPr="000C7205">
        <w:rPr>
          <w:sz w:val="20"/>
          <w:szCs w:val="20"/>
        </w:rPr>
        <w:t xml:space="preserve"> Available</w:t>
      </w:r>
      <w:proofErr w:type="gramEnd"/>
      <w:r w:rsidRPr="000C7205">
        <w:rPr>
          <w:sz w:val="20"/>
          <w:szCs w:val="20"/>
        </w:rPr>
        <w:t xml:space="preserve"> from Internet:</w:t>
      </w:r>
      <w:r>
        <w:rPr>
          <w:rFonts w:ascii="Verdana" w:hAnsi="Verdana"/>
          <w:sz w:val="18"/>
          <w:szCs w:val="18"/>
        </w:rPr>
        <w:t xml:space="preserve"> </w:t>
      </w:r>
      <w:hyperlink r:id="rId23" w:history="1">
        <w:r w:rsidRPr="000C7205">
          <w:rPr>
            <w:rStyle w:val="Hyperlink"/>
            <w:rFonts w:cs="Arial"/>
            <w:sz w:val="20"/>
            <w:szCs w:val="20"/>
          </w:rPr>
          <w:t>http://www.ejbiotechnology.info/index.php/ejbiotechnology/article/view/v16n3-5/1638</w:t>
        </w:r>
      </w:hyperlink>
    </w:p>
    <w:p w14:paraId="7EE8F3A1" w14:textId="77777777" w:rsidR="000C7205" w:rsidRPr="00346018" w:rsidRDefault="000C7205" w:rsidP="000C7205">
      <w:pPr>
        <w:rPr>
          <w:rFonts w:eastAsia="Calibri"/>
          <w:sz w:val="20"/>
          <w:szCs w:val="20"/>
          <w:lang w:bidi="ar-SA"/>
        </w:rPr>
      </w:pPr>
    </w:p>
    <w:p w14:paraId="24EC22DD" w14:textId="576B3459" w:rsidR="008F416C" w:rsidRDefault="008F416C" w:rsidP="000C7205">
      <w:pPr>
        <w:rPr>
          <w:rFonts w:eastAsia="Calibri"/>
          <w:sz w:val="20"/>
          <w:szCs w:val="20"/>
          <w:lang w:bidi="ar-SA"/>
        </w:rPr>
      </w:pPr>
      <w:proofErr w:type="gramStart"/>
      <w:r>
        <w:rPr>
          <w:rFonts w:eastAsia="Calibri"/>
          <w:sz w:val="20"/>
          <w:szCs w:val="20"/>
          <w:lang w:bidi="ar-SA"/>
        </w:rPr>
        <w:t>Hasan F, Shah AA, Hameed A (2006) Industrial applications of lipases.</w:t>
      </w:r>
      <w:proofErr w:type="gramEnd"/>
      <w:r>
        <w:rPr>
          <w:rFonts w:eastAsia="Calibri"/>
          <w:sz w:val="20"/>
          <w:szCs w:val="20"/>
          <w:lang w:bidi="ar-SA"/>
        </w:rPr>
        <w:t xml:space="preserve"> Enzyme and Microbial Technology 39(2):235-251</w:t>
      </w:r>
    </w:p>
    <w:p w14:paraId="50654B4B" w14:textId="77777777" w:rsidR="008F416C" w:rsidRDefault="008F416C" w:rsidP="000C7205">
      <w:pPr>
        <w:rPr>
          <w:rFonts w:eastAsia="Calibri"/>
          <w:sz w:val="20"/>
          <w:szCs w:val="20"/>
          <w:lang w:bidi="ar-SA"/>
        </w:rPr>
      </w:pPr>
    </w:p>
    <w:p w14:paraId="18A2BD1F" w14:textId="7ACE1E17" w:rsidR="00346018" w:rsidRDefault="00346018" w:rsidP="000C7205">
      <w:pPr>
        <w:rPr>
          <w:rFonts w:eastAsia="Calibri"/>
          <w:sz w:val="20"/>
          <w:szCs w:val="20"/>
          <w:lang w:bidi="ar-SA"/>
        </w:rPr>
      </w:pPr>
      <w:r w:rsidRPr="00346018">
        <w:rPr>
          <w:rFonts w:eastAsia="Calibri"/>
          <w:sz w:val="20"/>
          <w:szCs w:val="20"/>
          <w:lang w:bidi="ar-SA"/>
        </w:rPr>
        <w:t xml:space="preserve">IUBMB </w:t>
      </w:r>
      <w:r>
        <w:rPr>
          <w:rFonts w:eastAsia="Calibri"/>
          <w:sz w:val="20"/>
          <w:szCs w:val="20"/>
          <w:lang w:bidi="ar-SA"/>
        </w:rPr>
        <w:t xml:space="preserve">(2016) EC 3.1.1.3 </w:t>
      </w:r>
      <w:hyperlink r:id="rId24" w:history="1">
        <w:r w:rsidRPr="004E2F26">
          <w:rPr>
            <w:rStyle w:val="Hyperlink"/>
            <w:rFonts w:eastAsia="Calibri"/>
            <w:sz w:val="20"/>
            <w:szCs w:val="20"/>
            <w:lang w:bidi="ar-SA"/>
          </w:rPr>
          <w:t>http://www.chem.qmul.ac.uk/iubmb/enzyme/EC3/1/1/3.html</w:t>
        </w:r>
      </w:hyperlink>
    </w:p>
    <w:p w14:paraId="6D70DEEA" w14:textId="77777777" w:rsidR="00346018" w:rsidRDefault="00346018" w:rsidP="000C7205">
      <w:pPr>
        <w:rPr>
          <w:rFonts w:eastAsia="Calibri"/>
          <w:sz w:val="20"/>
          <w:szCs w:val="20"/>
          <w:lang w:bidi="ar-SA"/>
        </w:rPr>
      </w:pPr>
    </w:p>
    <w:p w14:paraId="33CA3DC4" w14:textId="77777777" w:rsidR="00DC6022" w:rsidRDefault="00DC6022" w:rsidP="00DC6022">
      <w:pPr>
        <w:rPr>
          <w:rFonts w:eastAsia="Calibri"/>
          <w:sz w:val="20"/>
          <w:szCs w:val="20"/>
          <w:lang w:bidi="ar-SA"/>
        </w:rPr>
      </w:pPr>
      <w:r>
        <w:rPr>
          <w:rFonts w:eastAsia="Calibri"/>
          <w:sz w:val="20"/>
          <w:szCs w:val="20"/>
          <w:lang w:bidi="ar-SA"/>
        </w:rPr>
        <w:t xml:space="preserve">JECFA (2016) General specifications and considerations for enzyme preparations used in food processing. </w:t>
      </w:r>
      <w:hyperlink r:id="rId25" w:history="1">
        <w:r w:rsidRPr="004E2F26">
          <w:rPr>
            <w:rStyle w:val="Hyperlink"/>
            <w:rFonts w:eastAsia="Calibri"/>
            <w:sz w:val="20"/>
            <w:szCs w:val="20"/>
            <w:lang w:bidi="ar-SA"/>
          </w:rPr>
          <w:t>http://www.fao.org/food/food-safety-quality/scientific-advice/jecfa/jecfa-additives/enzymes/en/</w:t>
        </w:r>
      </w:hyperlink>
    </w:p>
    <w:p w14:paraId="4BED09E5" w14:textId="1C3F7623" w:rsidR="00DC6022" w:rsidRDefault="00DC6022" w:rsidP="000C7205">
      <w:pPr>
        <w:rPr>
          <w:rFonts w:eastAsia="Calibri"/>
          <w:sz w:val="20"/>
          <w:szCs w:val="20"/>
          <w:lang w:bidi="ar-SA"/>
        </w:rPr>
      </w:pPr>
    </w:p>
    <w:p w14:paraId="49A3E180" w14:textId="51148323" w:rsidR="00702155" w:rsidRDefault="00702155" w:rsidP="000C7205">
      <w:pPr>
        <w:rPr>
          <w:rFonts w:eastAsia="Calibri"/>
          <w:sz w:val="20"/>
          <w:szCs w:val="20"/>
          <w:lang w:bidi="ar-SA"/>
        </w:rPr>
      </w:pPr>
      <w:r>
        <w:rPr>
          <w:rFonts w:eastAsia="Calibri"/>
          <w:sz w:val="20"/>
          <w:szCs w:val="20"/>
          <w:lang w:bidi="ar-SA"/>
        </w:rPr>
        <w:t>Pandey A</w:t>
      </w:r>
      <w:r w:rsidRPr="00702155">
        <w:rPr>
          <w:rFonts w:eastAsia="Calibri"/>
          <w:sz w:val="20"/>
          <w:szCs w:val="20"/>
          <w:lang w:bidi="ar-SA"/>
        </w:rPr>
        <w:t xml:space="preserve">, Benjamin S, </w:t>
      </w:r>
      <w:proofErr w:type="spellStart"/>
      <w:r w:rsidRPr="00702155">
        <w:rPr>
          <w:rFonts w:eastAsia="Calibri"/>
          <w:sz w:val="20"/>
          <w:szCs w:val="20"/>
          <w:lang w:bidi="ar-SA"/>
        </w:rPr>
        <w:t>Soccol</w:t>
      </w:r>
      <w:proofErr w:type="spellEnd"/>
      <w:r w:rsidRPr="00702155">
        <w:rPr>
          <w:rFonts w:eastAsia="Calibri"/>
          <w:sz w:val="20"/>
          <w:szCs w:val="20"/>
          <w:lang w:bidi="ar-SA"/>
        </w:rPr>
        <w:t xml:space="preserve"> CR</w:t>
      </w:r>
      <w:r>
        <w:rPr>
          <w:rFonts w:eastAsia="Calibri"/>
          <w:sz w:val="20"/>
          <w:szCs w:val="20"/>
          <w:lang w:bidi="ar-SA"/>
        </w:rPr>
        <w:t xml:space="preserve">, Nigam P, Krieger N, </w:t>
      </w:r>
      <w:proofErr w:type="spellStart"/>
      <w:r>
        <w:rPr>
          <w:rFonts w:eastAsia="Calibri"/>
          <w:sz w:val="20"/>
          <w:szCs w:val="20"/>
          <w:lang w:bidi="ar-SA"/>
        </w:rPr>
        <w:t>Soccol</w:t>
      </w:r>
      <w:proofErr w:type="spellEnd"/>
      <w:r>
        <w:rPr>
          <w:rFonts w:eastAsia="Calibri"/>
          <w:sz w:val="20"/>
          <w:szCs w:val="20"/>
          <w:lang w:bidi="ar-SA"/>
        </w:rPr>
        <w:t xml:space="preserve"> VT (1999) </w:t>
      </w:r>
      <w:r w:rsidRPr="00702155">
        <w:rPr>
          <w:rFonts w:eastAsia="Calibri"/>
          <w:sz w:val="20"/>
          <w:szCs w:val="20"/>
          <w:lang w:bidi="ar-SA"/>
        </w:rPr>
        <w:t>The realm of microbial lipases in biotechnology.</w:t>
      </w:r>
      <w:r>
        <w:rPr>
          <w:rFonts w:eastAsia="Calibri"/>
          <w:sz w:val="20"/>
          <w:szCs w:val="20"/>
          <w:lang w:bidi="ar-SA"/>
        </w:rPr>
        <w:t xml:space="preserve"> Biotechnology and Applied Biochemistry 29(2):119-31</w:t>
      </w:r>
    </w:p>
    <w:p w14:paraId="1AF7BFD1" w14:textId="33B2C260" w:rsidR="007E55DD" w:rsidRDefault="007E55DD" w:rsidP="000C7205">
      <w:pPr>
        <w:rPr>
          <w:rFonts w:eastAsia="Calibri"/>
          <w:sz w:val="20"/>
          <w:szCs w:val="20"/>
          <w:lang w:bidi="ar-SA"/>
        </w:rPr>
      </w:pPr>
    </w:p>
    <w:p w14:paraId="6BD7A674" w14:textId="22207F8B" w:rsidR="007E55DD" w:rsidRPr="00346018" w:rsidRDefault="007E55DD" w:rsidP="000C7205">
      <w:pPr>
        <w:rPr>
          <w:rFonts w:eastAsia="Calibri"/>
          <w:sz w:val="20"/>
          <w:szCs w:val="20"/>
          <w:lang w:bidi="ar-SA"/>
        </w:rPr>
      </w:pPr>
      <w:r w:rsidRPr="007E55DD">
        <w:rPr>
          <w:rFonts w:eastAsia="Calibri"/>
          <w:sz w:val="20"/>
          <w:szCs w:val="20"/>
          <w:lang w:bidi="ar-SA"/>
        </w:rPr>
        <w:t xml:space="preserve">WHO (2016) Evaluation of certain food additives and contaminants: eightieth report of the Joint FAO/WHO Expert Committee on Food Additives. </w:t>
      </w:r>
      <w:proofErr w:type="gramStart"/>
      <w:r w:rsidRPr="007E55DD">
        <w:rPr>
          <w:rFonts w:eastAsia="Calibri"/>
          <w:sz w:val="20"/>
          <w:szCs w:val="20"/>
          <w:lang w:bidi="ar-SA"/>
        </w:rPr>
        <w:t>WHO technical report series; no. 995.</w:t>
      </w:r>
      <w:proofErr w:type="gramEnd"/>
      <w:r w:rsidRPr="007E55DD">
        <w:rPr>
          <w:rFonts w:eastAsia="Calibri"/>
          <w:sz w:val="20"/>
          <w:szCs w:val="20"/>
          <w:lang w:bidi="ar-SA"/>
        </w:rPr>
        <w:t xml:space="preserve"> </w:t>
      </w:r>
      <w:hyperlink r:id="rId26" w:history="1">
        <w:r w:rsidRPr="00544B0F">
          <w:rPr>
            <w:rStyle w:val="Hyperlink"/>
            <w:rFonts w:eastAsia="Calibri"/>
            <w:sz w:val="20"/>
            <w:szCs w:val="20"/>
            <w:lang w:bidi="ar-SA"/>
          </w:rPr>
          <w:t>http://apps.who.int/iris/bitstream/10665/204410/1/9789240695405_eng.pdf?ua=1</w:t>
        </w:r>
      </w:hyperlink>
      <w:r>
        <w:rPr>
          <w:rFonts w:eastAsia="Calibri"/>
          <w:sz w:val="20"/>
          <w:szCs w:val="20"/>
          <w:lang w:bidi="ar-SA"/>
        </w:rPr>
        <w:t xml:space="preserve"> Accessed 28 March 2017 </w:t>
      </w:r>
    </w:p>
    <w:sectPr w:rsidR="007E55DD" w:rsidRPr="00346018" w:rsidSect="00A02C8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64223" w14:textId="77777777" w:rsidR="00A02C80" w:rsidRDefault="00A02C80">
      <w:r>
        <w:separator/>
      </w:r>
    </w:p>
  </w:endnote>
  <w:endnote w:type="continuationSeparator" w:id="0">
    <w:p w14:paraId="1704F856" w14:textId="77777777" w:rsidR="00A02C80" w:rsidRDefault="00A02C80">
      <w:r>
        <w:continuationSeparator/>
      </w:r>
    </w:p>
  </w:endnote>
  <w:endnote w:type="continuationNotice" w:id="1">
    <w:p w14:paraId="066032E4" w14:textId="77777777" w:rsidR="00A02C80" w:rsidRDefault="00A02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1" w14:textId="77777777" w:rsidR="00A02C80" w:rsidRDefault="00A02C8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C6782" w14:textId="77777777" w:rsidR="00A02C80" w:rsidRDefault="00A02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3" w14:textId="20915F2F" w:rsidR="00A02C80" w:rsidRDefault="00A02C8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5377">
      <w:rPr>
        <w:rStyle w:val="PageNumber"/>
        <w:noProof/>
      </w:rPr>
      <w:t>6</w:t>
    </w:r>
    <w:r>
      <w:rPr>
        <w:rStyle w:val="PageNumber"/>
      </w:rPr>
      <w:fldChar w:fldCharType="end"/>
    </w:r>
  </w:p>
  <w:p w14:paraId="43BC6784" w14:textId="77777777" w:rsidR="00A02C80" w:rsidRDefault="00A02C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9238E" w14:textId="77777777" w:rsidR="00A02C80" w:rsidRDefault="00A02C80">
      <w:r>
        <w:separator/>
      </w:r>
    </w:p>
  </w:footnote>
  <w:footnote w:type="continuationSeparator" w:id="0">
    <w:p w14:paraId="1FD09F29" w14:textId="77777777" w:rsidR="00A02C80" w:rsidRDefault="00A02C80">
      <w:r>
        <w:continuationSeparator/>
      </w:r>
    </w:p>
  </w:footnote>
  <w:footnote w:type="continuationNotice" w:id="1">
    <w:p w14:paraId="5E83D990" w14:textId="77777777" w:rsidR="00A02C80" w:rsidRDefault="00A02C80"/>
  </w:footnote>
  <w:footnote w:id="2">
    <w:p w14:paraId="2F390477" w14:textId="77777777" w:rsidR="00A02C80" w:rsidRPr="00B714B5" w:rsidRDefault="00A02C80" w:rsidP="000C7205">
      <w:pPr>
        <w:pStyle w:val="FootnoteText"/>
        <w:rPr>
          <w:lang w:val="en-AU"/>
        </w:rPr>
      </w:pPr>
      <w:r w:rsidRPr="005D3046">
        <w:rPr>
          <w:rStyle w:val="FootnoteReference"/>
          <w:sz w:val="18"/>
        </w:rPr>
        <w:footnoteRef/>
      </w:r>
      <w:r w:rsidRPr="005D3046">
        <w:rPr>
          <w:sz w:val="18"/>
        </w:rPr>
        <w:t xml:space="preserve"> International Union of Biochemistry and Molecular Biology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5" w14:textId="77777777" w:rsidR="00A02C80" w:rsidRDefault="00A02C8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4D0"/>
    <w:multiLevelType w:val="hybridMultilevel"/>
    <w:tmpl w:val="7C42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E53B8"/>
    <w:multiLevelType w:val="hybridMultilevel"/>
    <w:tmpl w:val="20BE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54C3FE4"/>
    <w:multiLevelType w:val="multilevel"/>
    <w:tmpl w:val="835CFAFC"/>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2C4874"/>
    <w:multiLevelType w:val="hybridMultilevel"/>
    <w:tmpl w:val="9D18440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66381"/>
    <w:multiLevelType w:val="hybridMultilevel"/>
    <w:tmpl w:val="0DD2B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7E4474"/>
    <w:multiLevelType w:val="hybridMultilevel"/>
    <w:tmpl w:val="AC94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5E7F3C"/>
    <w:multiLevelType w:val="hybridMultilevel"/>
    <w:tmpl w:val="F02A1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EE96A16"/>
    <w:multiLevelType w:val="hybridMultilevel"/>
    <w:tmpl w:val="69DC786A"/>
    <w:lvl w:ilvl="0" w:tplc="0BAE57B2">
      <w:start w:val="1"/>
      <w:numFmt w:val="lowerLetter"/>
      <w:lvlText w:val="%1)"/>
      <w:lvlJc w:val="left"/>
      <w:pPr>
        <w:ind w:left="720" w:hanging="36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7A5D81"/>
    <w:multiLevelType w:val="hybridMultilevel"/>
    <w:tmpl w:val="46D84F6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6D10C5B"/>
    <w:multiLevelType w:val="multilevel"/>
    <w:tmpl w:val="7236E0D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9047FD"/>
    <w:multiLevelType w:val="hybridMultilevel"/>
    <w:tmpl w:val="D2883E9A"/>
    <w:lvl w:ilvl="0" w:tplc="FAA89EC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E56892"/>
    <w:multiLevelType w:val="hybridMultilevel"/>
    <w:tmpl w:val="F0AEF88C"/>
    <w:lvl w:ilvl="0" w:tplc="FE4C3F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6184675"/>
    <w:multiLevelType w:val="hybridMultilevel"/>
    <w:tmpl w:val="8C00743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E0E419B"/>
    <w:multiLevelType w:val="hybridMultilevel"/>
    <w:tmpl w:val="500C735C"/>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num w:numId="1">
    <w:abstractNumId w:val="1"/>
  </w:num>
  <w:num w:numId="2">
    <w:abstractNumId w:val="9"/>
  </w:num>
  <w:num w:numId="3">
    <w:abstractNumId w:val="13"/>
  </w:num>
  <w:num w:numId="4">
    <w:abstractNumId w:val="4"/>
  </w:num>
  <w:num w:numId="5">
    <w:abstractNumId w:val="17"/>
  </w:num>
  <w:num w:numId="6">
    <w:abstractNumId w:val="6"/>
  </w:num>
  <w:num w:numId="7">
    <w:abstractNumId w:val="11"/>
  </w:num>
  <w:num w:numId="8">
    <w:abstractNumId w:val="18"/>
  </w:num>
  <w:num w:numId="9">
    <w:abstractNumId w:val="8"/>
  </w:num>
  <w:num w:numId="10">
    <w:abstractNumId w:val="3"/>
  </w:num>
  <w:num w:numId="11">
    <w:abstractNumId w:val="12"/>
  </w:num>
  <w:num w:numId="12">
    <w:abstractNumId w:val="7"/>
  </w:num>
  <w:num w:numId="13">
    <w:abstractNumId w:val="14"/>
  </w:num>
  <w:num w:numId="14">
    <w:abstractNumId w:val="5"/>
  </w:num>
  <w:num w:numId="15">
    <w:abstractNumId w:val="0"/>
  </w:num>
  <w:num w:numId="16">
    <w:abstractNumId w:val="2"/>
  </w:num>
  <w:num w:numId="17">
    <w:abstractNumId w:val="15"/>
  </w:num>
  <w:num w:numId="18">
    <w:abstractNumId w:val="16"/>
  </w:num>
  <w:num w:numId="1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phries, Cathie">
    <w15:presenceInfo w15:providerId="AD" w15:userId="S-1-5-21-2052111302-1547161642-1801674531-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lt;/item&gt;&lt;/Libraries&gt;&lt;/ENLibraries&gt;"/>
  </w:docVars>
  <w:rsids>
    <w:rsidRoot w:val="005F7342"/>
    <w:rsid w:val="00000C47"/>
    <w:rsid w:val="00001CF2"/>
    <w:rsid w:val="0000247B"/>
    <w:rsid w:val="00003CD6"/>
    <w:rsid w:val="0000469B"/>
    <w:rsid w:val="00005498"/>
    <w:rsid w:val="000054F6"/>
    <w:rsid w:val="0000781A"/>
    <w:rsid w:val="00013246"/>
    <w:rsid w:val="000146E4"/>
    <w:rsid w:val="0001475E"/>
    <w:rsid w:val="00020437"/>
    <w:rsid w:val="0002189D"/>
    <w:rsid w:val="00022354"/>
    <w:rsid w:val="000223DA"/>
    <w:rsid w:val="00026568"/>
    <w:rsid w:val="00035FF3"/>
    <w:rsid w:val="0003668B"/>
    <w:rsid w:val="000404CD"/>
    <w:rsid w:val="000501E3"/>
    <w:rsid w:val="00051021"/>
    <w:rsid w:val="00051ED9"/>
    <w:rsid w:val="000528F7"/>
    <w:rsid w:val="00057181"/>
    <w:rsid w:val="00057A31"/>
    <w:rsid w:val="00063E78"/>
    <w:rsid w:val="0006473A"/>
    <w:rsid w:val="00064B2D"/>
    <w:rsid w:val="00065F1F"/>
    <w:rsid w:val="00072989"/>
    <w:rsid w:val="00074C5F"/>
    <w:rsid w:val="00076D33"/>
    <w:rsid w:val="00086EAC"/>
    <w:rsid w:val="00092CDA"/>
    <w:rsid w:val="000948AD"/>
    <w:rsid w:val="000A27E9"/>
    <w:rsid w:val="000A3830"/>
    <w:rsid w:val="000A3D8B"/>
    <w:rsid w:val="000A5DF8"/>
    <w:rsid w:val="000B0FA3"/>
    <w:rsid w:val="000B6AF2"/>
    <w:rsid w:val="000C7205"/>
    <w:rsid w:val="000D6FD4"/>
    <w:rsid w:val="000E0AE4"/>
    <w:rsid w:val="000E3DBC"/>
    <w:rsid w:val="001012DA"/>
    <w:rsid w:val="0010443A"/>
    <w:rsid w:val="001054D3"/>
    <w:rsid w:val="00110820"/>
    <w:rsid w:val="00112764"/>
    <w:rsid w:val="00112CAC"/>
    <w:rsid w:val="00113BFB"/>
    <w:rsid w:val="00113CE3"/>
    <w:rsid w:val="00115E43"/>
    <w:rsid w:val="00117522"/>
    <w:rsid w:val="00117F05"/>
    <w:rsid w:val="00120F64"/>
    <w:rsid w:val="00121250"/>
    <w:rsid w:val="00123A4C"/>
    <w:rsid w:val="00125437"/>
    <w:rsid w:val="00125E70"/>
    <w:rsid w:val="00125F6A"/>
    <w:rsid w:val="001265A5"/>
    <w:rsid w:val="00130376"/>
    <w:rsid w:val="0015124A"/>
    <w:rsid w:val="001542D8"/>
    <w:rsid w:val="0015668F"/>
    <w:rsid w:val="0017452D"/>
    <w:rsid w:val="00176148"/>
    <w:rsid w:val="00180C41"/>
    <w:rsid w:val="00182C4C"/>
    <w:rsid w:val="00184878"/>
    <w:rsid w:val="00192F0F"/>
    <w:rsid w:val="00194838"/>
    <w:rsid w:val="00197D8D"/>
    <w:rsid w:val="001A1A75"/>
    <w:rsid w:val="001A7E9A"/>
    <w:rsid w:val="001C0E96"/>
    <w:rsid w:val="001C1DD2"/>
    <w:rsid w:val="001C27A3"/>
    <w:rsid w:val="001C3FF1"/>
    <w:rsid w:val="001C5295"/>
    <w:rsid w:val="001D12F1"/>
    <w:rsid w:val="001D50EB"/>
    <w:rsid w:val="001E09FA"/>
    <w:rsid w:val="001E507C"/>
    <w:rsid w:val="001E627C"/>
    <w:rsid w:val="001E68B1"/>
    <w:rsid w:val="001F06C7"/>
    <w:rsid w:val="001F1B0C"/>
    <w:rsid w:val="001F3F8E"/>
    <w:rsid w:val="001F4658"/>
    <w:rsid w:val="001F5A68"/>
    <w:rsid w:val="00203540"/>
    <w:rsid w:val="00214A57"/>
    <w:rsid w:val="0021612B"/>
    <w:rsid w:val="00216948"/>
    <w:rsid w:val="00216D0E"/>
    <w:rsid w:val="0022083A"/>
    <w:rsid w:val="00221D07"/>
    <w:rsid w:val="002237D5"/>
    <w:rsid w:val="00225E72"/>
    <w:rsid w:val="0022677F"/>
    <w:rsid w:val="00227E4A"/>
    <w:rsid w:val="00232092"/>
    <w:rsid w:val="00244722"/>
    <w:rsid w:val="00244778"/>
    <w:rsid w:val="0024582E"/>
    <w:rsid w:val="00245C56"/>
    <w:rsid w:val="00246799"/>
    <w:rsid w:val="002547EF"/>
    <w:rsid w:val="00256D65"/>
    <w:rsid w:val="00257A5D"/>
    <w:rsid w:val="00264C7C"/>
    <w:rsid w:val="00270470"/>
    <w:rsid w:val="00271CE3"/>
    <w:rsid w:val="00271F00"/>
    <w:rsid w:val="00273170"/>
    <w:rsid w:val="00273A80"/>
    <w:rsid w:val="00285377"/>
    <w:rsid w:val="00286701"/>
    <w:rsid w:val="0029204E"/>
    <w:rsid w:val="0029631C"/>
    <w:rsid w:val="00296652"/>
    <w:rsid w:val="002A0194"/>
    <w:rsid w:val="002A3D9F"/>
    <w:rsid w:val="002A4123"/>
    <w:rsid w:val="002A42D7"/>
    <w:rsid w:val="002A55DF"/>
    <w:rsid w:val="002A5F8B"/>
    <w:rsid w:val="002A78BB"/>
    <w:rsid w:val="002A7F6C"/>
    <w:rsid w:val="002B251C"/>
    <w:rsid w:val="002B5374"/>
    <w:rsid w:val="002C0DA8"/>
    <w:rsid w:val="002C25B8"/>
    <w:rsid w:val="002C669A"/>
    <w:rsid w:val="002D453B"/>
    <w:rsid w:val="002D6809"/>
    <w:rsid w:val="002D7232"/>
    <w:rsid w:val="002E3542"/>
    <w:rsid w:val="002F2D04"/>
    <w:rsid w:val="002F54B4"/>
    <w:rsid w:val="002F5743"/>
    <w:rsid w:val="002F6488"/>
    <w:rsid w:val="00306B0D"/>
    <w:rsid w:val="003110F6"/>
    <w:rsid w:val="00320839"/>
    <w:rsid w:val="003213F9"/>
    <w:rsid w:val="00323DBF"/>
    <w:rsid w:val="003309A8"/>
    <w:rsid w:val="00332B12"/>
    <w:rsid w:val="00337471"/>
    <w:rsid w:val="003406CA"/>
    <w:rsid w:val="00341ABF"/>
    <w:rsid w:val="00345E7A"/>
    <w:rsid w:val="00346018"/>
    <w:rsid w:val="003462D7"/>
    <w:rsid w:val="003464DB"/>
    <w:rsid w:val="003506C9"/>
    <w:rsid w:val="003513B1"/>
    <w:rsid w:val="00351571"/>
    <w:rsid w:val="00351B07"/>
    <w:rsid w:val="00351FE2"/>
    <w:rsid w:val="00352CF2"/>
    <w:rsid w:val="00357B74"/>
    <w:rsid w:val="0036278F"/>
    <w:rsid w:val="0036324E"/>
    <w:rsid w:val="00364841"/>
    <w:rsid w:val="00371B29"/>
    <w:rsid w:val="00373860"/>
    <w:rsid w:val="003753D7"/>
    <w:rsid w:val="0037656B"/>
    <w:rsid w:val="003830B3"/>
    <w:rsid w:val="0038507E"/>
    <w:rsid w:val="003873CA"/>
    <w:rsid w:val="00391769"/>
    <w:rsid w:val="00391B51"/>
    <w:rsid w:val="003928AA"/>
    <w:rsid w:val="003953E1"/>
    <w:rsid w:val="003956B3"/>
    <w:rsid w:val="003A68BE"/>
    <w:rsid w:val="003B1805"/>
    <w:rsid w:val="003B3C9D"/>
    <w:rsid w:val="003B417C"/>
    <w:rsid w:val="003B49C2"/>
    <w:rsid w:val="003B78E0"/>
    <w:rsid w:val="003C1D6B"/>
    <w:rsid w:val="003C213E"/>
    <w:rsid w:val="003C2631"/>
    <w:rsid w:val="003C4969"/>
    <w:rsid w:val="003C58BC"/>
    <w:rsid w:val="003D4DA1"/>
    <w:rsid w:val="003E09BD"/>
    <w:rsid w:val="003E3103"/>
    <w:rsid w:val="003E41D5"/>
    <w:rsid w:val="003E46BA"/>
    <w:rsid w:val="003E49DB"/>
    <w:rsid w:val="003E7D22"/>
    <w:rsid w:val="003F09B8"/>
    <w:rsid w:val="003F1564"/>
    <w:rsid w:val="003F358E"/>
    <w:rsid w:val="003F36D9"/>
    <w:rsid w:val="003F5F60"/>
    <w:rsid w:val="003F74C1"/>
    <w:rsid w:val="00404A2C"/>
    <w:rsid w:val="00405B1A"/>
    <w:rsid w:val="00410C76"/>
    <w:rsid w:val="00411907"/>
    <w:rsid w:val="00413CA8"/>
    <w:rsid w:val="004153F0"/>
    <w:rsid w:val="0041746B"/>
    <w:rsid w:val="00417EE3"/>
    <w:rsid w:val="004207EB"/>
    <w:rsid w:val="00435346"/>
    <w:rsid w:val="00436BAA"/>
    <w:rsid w:val="00437276"/>
    <w:rsid w:val="00437E7B"/>
    <w:rsid w:val="00444CDF"/>
    <w:rsid w:val="004463A3"/>
    <w:rsid w:val="00456B54"/>
    <w:rsid w:val="004610F8"/>
    <w:rsid w:val="00464643"/>
    <w:rsid w:val="004745C5"/>
    <w:rsid w:val="004760FC"/>
    <w:rsid w:val="00480EEA"/>
    <w:rsid w:val="00482315"/>
    <w:rsid w:val="0048336D"/>
    <w:rsid w:val="00486793"/>
    <w:rsid w:val="00490BD7"/>
    <w:rsid w:val="00494B81"/>
    <w:rsid w:val="00496D4F"/>
    <w:rsid w:val="004A1FF5"/>
    <w:rsid w:val="004A2037"/>
    <w:rsid w:val="004A58F6"/>
    <w:rsid w:val="004B1D4F"/>
    <w:rsid w:val="004C0EF0"/>
    <w:rsid w:val="004C1E77"/>
    <w:rsid w:val="004C23F2"/>
    <w:rsid w:val="004C2AAE"/>
    <w:rsid w:val="004C2CE7"/>
    <w:rsid w:val="004C3E3F"/>
    <w:rsid w:val="004C5ECB"/>
    <w:rsid w:val="004D41C9"/>
    <w:rsid w:val="004D5069"/>
    <w:rsid w:val="004D7E0C"/>
    <w:rsid w:val="004E0503"/>
    <w:rsid w:val="004E073B"/>
    <w:rsid w:val="004E0A5E"/>
    <w:rsid w:val="004E17AF"/>
    <w:rsid w:val="004E2007"/>
    <w:rsid w:val="004E313B"/>
    <w:rsid w:val="004E4D03"/>
    <w:rsid w:val="004F4F98"/>
    <w:rsid w:val="004F589F"/>
    <w:rsid w:val="004F6300"/>
    <w:rsid w:val="004F69F6"/>
    <w:rsid w:val="004F6BC0"/>
    <w:rsid w:val="004F79AC"/>
    <w:rsid w:val="00500935"/>
    <w:rsid w:val="005017CF"/>
    <w:rsid w:val="00506B53"/>
    <w:rsid w:val="00507352"/>
    <w:rsid w:val="00511664"/>
    <w:rsid w:val="00513789"/>
    <w:rsid w:val="00514AF7"/>
    <w:rsid w:val="005207D8"/>
    <w:rsid w:val="00523C20"/>
    <w:rsid w:val="005273A8"/>
    <w:rsid w:val="0053464E"/>
    <w:rsid w:val="00534A12"/>
    <w:rsid w:val="005468F4"/>
    <w:rsid w:val="0055318A"/>
    <w:rsid w:val="005621E6"/>
    <w:rsid w:val="00562917"/>
    <w:rsid w:val="00563877"/>
    <w:rsid w:val="005800D1"/>
    <w:rsid w:val="00585318"/>
    <w:rsid w:val="00586228"/>
    <w:rsid w:val="005955A0"/>
    <w:rsid w:val="005A108E"/>
    <w:rsid w:val="005A189C"/>
    <w:rsid w:val="005A1D97"/>
    <w:rsid w:val="005A32E6"/>
    <w:rsid w:val="005A66AB"/>
    <w:rsid w:val="005B11A6"/>
    <w:rsid w:val="005B50B3"/>
    <w:rsid w:val="005B58C6"/>
    <w:rsid w:val="005B6AF4"/>
    <w:rsid w:val="005B7A73"/>
    <w:rsid w:val="005C04CB"/>
    <w:rsid w:val="005D16AD"/>
    <w:rsid w:val="005D3046"/>
    <w:rsid w:val="005D72E1"/>
    <w:rsid w:val="005E6D97"/>
    <w:rsid w:val="005E6E16"/>
    <w:rsid w:val="005F400E"/>
    <w:rsid w:val="005F7342"/>
    <w:rsid w:val="00603A08"/>
    <w:rsid w:val="00604AEB"/>
    <w:rsid w:val="00610A3C"/>
    <w:rsid w:val="00612861"/>
    <w:rsid w:val="006224E8"/>
    <w:rsid w:val="00627B72"/>
    <w:rsid w:val="00627F48"/>
    <w:rsid w:val="00630C23"/>
    <w:rsid w:val="006460AB"/>
    <w:rsid w:val="006475BB"/>
    <w:rsid w:val="00652F58"/>
    <w:rsid w:val="00653872"/>
    <w:rsid w:val="00655025"/>
    <w:rsid w:val="00657A86"/>
    <w:rsid w:val="00663FCF"/>
    <w:rsid w:val="006652A2"/>
    <w:rsid w:val="00665672"/>
    <w:rsid w:val="00674204"/>
    <w:rsid w:val="006745F1"/>
    <w:rsid w:val="0068600C"/>
    <w:rsid w:val="00690206"/>
    <w:rsid w:val="006937FF"/>
    <w:rsid w:val="00694E1A"/>
    <w:rsid w:val="006956C0"/>
    <w:rsid w:val="006A4092"/>
    <w:rsid w:val="006A48A7"/>
    <w:rsid w:val="006B1834"/>
    <w:rsid w:val="006B38E4"/>
    <w:rsid w:val="006B4BA1"/>
    <w:rsid w:val="006B5EBE"/>
    <w:rsid w:val="006B61BD"/>
    <w:rsid w:val="006C4368"/>
    <w:rsid w:val="006C503B"/>
    <w:rsid w:val="006C5CF5"/>
    <w:rsid w:val="006C73D2"/>
    <w:rsid w:val="006C753D"/>
    <w:rsid w:val="006D5F41"/>
    <w:rsid w:val="006D6663"/>
    <w:rsid w:val="006F15D2"/>
    <w:rsid w:val="006F3B5A"/>
    <w:rsid w:val="006F4A82"/>
    <w:rsid w:val="006F4FA2"/>
    <w:rsid w:val="006F5200"/>
    <w:rsid w:val="006F6C07"/>
    <w:rsid w:val="00700821"/>
    <w:rsid w:val="00701F5A"/>
    <w:rsid w:val="007020EF"/>
    <w:rsid w:val="00702155"/>
    <w:rsid w:val="00702376"/>
    <w:rsid w:val="0070373B"/>
    <w:rsid w:val="0070780B"/>
    <w:rsid w:val="00710D53"/>
    <w:rsid w:val="00714EE1"/>
    <w:rsid w:val="00724FA4"/>
    <w:rsid w:val="00730800"/>
    <w:rsid w:val="00733F73"/>
    <w:rsid w:val="007400A6"/>
    <w:rsid w:val="0074476D"/>
    <w:rsid w:val="007560DF"/>
    <w:rsid w:val="00756EBC"/>
    <w:rsid w:val="007602AA"/>
    <w:rsid w:val="00761B37"/>
    <w:rsid w:val="0076455B"/>
    <w:rsid w:val="007652EF"/>
    <w:rsid w:val="00766A9A"/>
    <w:rsid w:val="00767D48"/>
    <w:rsid w:val="00770E7B"/>
    <w:rsid w:val="00772BDC"/>
    <w:rsid w:val="00780792"/>
    <w:rsid w:val="00785417"/>
    <w:rsid w:val="00786680"/>
    <w:rsid w:val="007944A4"/>
    <w:rsid w:val="007A050F"/>
    <w:rsid w:val="007A39A0"/>
    <w:rsid w:val="007A3A35"/>
    <w:rsid w:val="007A44B4"/>
    <w:rsid w:val="007A48E4"/>
    <w:rsid w:val="007A7D3D"/>
    <w:rsid w:val="007B225D"/>
    <w:rsid w:val="007B2E24"/>
    <w:rsid w:val="007B302F"/>
    <w:rsid w:val="007B60E6"/>
    <w:rsid w:val="007C174F"/>
    <w:rsid w:val="007C1C64"/>
    <w:rsid w:val="007C2679"/>
    <w:rsid w:val="007D03EA"/>
    <w:rsid w:val="007D3D79"/>
    <w:rsid w:val="007E2755"/>
    <w:rsid w:val="007E3D54"/>
    <w:rsid w:val="007E48BC"/>
    <w:rsid w:val="007E55DD"/>
    <w:rsid w:val="007E79F7"/>
    <w:rsid w:val="007F3630"/>
    <w:rsid w:val="007F79F4"/>
    <w:rsid w:val="00800D49"/>
    <w:rsid w:val="008057EB"/>
    <w:rsid w:val="00805C85"/>
    <w:rsid w:val="0080677D"/>
    <w:rsid w:val="00807559"/>
    <w:rsid w:val="00814242"/>
    <w:rsid w:val="008147B1"/>
    <w:rsid w:val="00815090"/>
    <w:rsid w:val="00817DA0"/>
    <w:rsid w:val="008239C4"/>
    <w:rsid w:val="008307A9"/>
    <w:rsid w:val="00831978"/>
    <w:rsid w:val="00833EAB"/>
    <w:rsid w:val="00833F70"/>
    <w:rsid w:val="00834962"/>
    <w:rsid w:val="0084039F"/>
    <w:rsid w:val="00841069"/>
    <w:rsid w:val="00842892"/>
    <w:rsid w:val="008450BC"/>
    <w:rsid w:val="0085334B"/>
    <w:rsid w:val="00853CFC"/>
    <w:rsid w:val="0085438C"/>
    <w:rsid w:val="00854F6B"/>
    <w:rsid w:val="00855B5F"/>
    <w:rsid w:val="008567A1"/>
    <w:rsid w:val="00856822"/>
    <w:rsid w:val="00860B5F"/>
    <w:rsid w:val="00865913"/>
    <w:rsid w:val="00870214"/>
    <w:rsid w:val="0087045E"/>
    <w:rsid w:val="00871786"/>
    <w:rsid w:val="0087344B"/>
    <w:rsid w:val="00874788"/>
    <w:rsid w:val="008801F9"/>
    <w:rsid w:val="00880CC0"/>
    <w:rsid w:val="00882413"/>
    <w:rsid w:val="008834CE"/>
    <w:rsid w:val="00885C51"/>
    <w:rsid w:val="00885EB0"/>
    <w:rsid w:val="00891F4B"/>
    <w:rsid w:val="0089264A"/>
    <w:rsid w:val="008963A6"/>
    <w:rsid w:val="0089671F"/>
    <w:rsid w:val="00896B85"/>
    <w:rsid w:val="008A1DB9"/>
    <w:rsid w:val="008A2008"/>
    <w:rsid w:val="008A22BE"/>
    <w:rsid w:val="008A7B6F"/>
    <w:rsid w:val="008B71BB"/>
    <w:rsid w:val="008C1B36"/>
    <w:rsid w:val="008C2288"/>
    <w:rsid w:val="008C3EAC"/>
    <w:rsid w:val="008D0420"/>
    <w:rsid w:val="008D06C6"/>
    <w:rsid w:val="008D5D4D"/>
    <w:rsid w:val="008E1F76"/>
    <w:rsid w:val="008E3D43"/>
    <w:rsid w:val="008E4833"/>
    <w:rsid w:val="008E6250"/>
    <w:rsid w:val="008F416C"/>
    <w:rsid w:val="008F5E15"/>
    <w:rsid w:val="008F71E6"/>
    <w:rsid w:val="00900F49"/>
    <w:rsid w:val="00902AF6"/>
    <w:rsid w:val="00904469"/>
    <w:rsid w:val="00904851"/>
    <w:rsid w:val="00905466"/>
    <w:rsid w:val="00910909"/>
    <w:rsid w:val="00911F12"/>
    <w:rsid w:val="00912FB4"/>
    <w:rsid w:val="009154BB"/>
    <w:rsid w:val="00916315"/>
    <w:rsid w:val="00920249"/>
    <w:rsid w:val="009222AE"/>
    <w:rsid w:val="0092488B"/>
    <w:rsid w:val="00924C80"/>
    <w:rsid w:val="00925195"/>
    <w:rsid w:val="009260FB"/>
    <w:rsid w:val="00932F14"/>
    <w:rsid w:val="00936545"/>
    <w:rsid w:val="00937398"/>
    <w:rsid w:val="0094247F"/>
    <w:rsid w:val="00942D60"/>
    <w:rsid w:val="0094659F"/>
    <w:rsid w:val="00946FA9"/>
    <w:rsid w:val="00950A4E"/>
    <w:rsid w:val="00954FBA"/>
    <w:rsid w:val="00962071"/>
    <w:rsid w:val="00962BBD"/>
    <w:rsid w:val="00964473"/>
    <w:rsid w:val="0096523B"/>
    <w:rsid w:val="009665DA"/>
    <w:rsid w:val="00966EE3"/>
    <w:rsid w:val="00967DBF"/>
    <w:rsid w:val="00971EDE"/>
    <w:rsid w:val="009725F8"/>
    <w:rsid w:val="00972D06"/>
    <w:rsid w:val="00973328"/>
    <w:rsid w:val="00973543"/>
    <w:rsid w:val="00975514"/>
    <w:rsid w:val="00976C38"/>
    <w:rsid w:val="009825EC"/>
    <w:rsid w:val="00985871"/>
    <w:rsid w:val="00995336"/>
    <w:rsid w:val="009A2CC4"/>
    <w:rsid w:val="009A391C"/>
    <w:rsid w:val="009A50F2"/>
    <w:rsid w:val="009A6FBD"/>
    <w:rsid w:val="009B1C1B"/>
    <w:rsid w:val="009B1C39"/>
    <w:rsid w:val="009B3BE3"/>
    <w:rsid w:val="009C48C9"/>
    <w:rsid w:val="009C6701"/>
    <w:rsid w:val="009D29D3"/>
    <w:rsid w:val="009D534F"/>
    <w:rsid w:val="009D58EA"/>
    <w:rsid w:val="009E0A61"/>
    <w:rsid w:val="009E0B68"/>
    <w:rsid w:val="009E0F8C"/>
    <w:rsid w:val="009E2F1A"/>
    <w:rsid w:val="009E3010"/>
    <w:rsid w:val="009E477F"/>
    <w:rsid w:val="009F007E"/>
    <w:rsid w:val="009F04DE"/>
    <w:rsid w:val="009F2CF1"/>
    <w:rsid w:val="009F51C9"/>
    <w:rsid w:val="009F7065"/>
    <w:rsid w:val="00A02C80"/>
    <w:rsid w:val="00A048EB"/>
    <w:rsid w:val="00A10356"/>
    <w:rsid w:val="00A1212C"/>
    <w:rsid w:val="00A22669"/>
    <w:rsid w:val="00A24D8F"/>
    <w:rsid w:val="00A2672B"/>
    <w:rsid w:val="00A308FF"/>
    <w:rsid w:val="00A325FF"/>
    <w:rsid w:val="00A33056"/>
    <w:rsid w:val="00A35F9B"/>
    <w:rsid w:val="00A4175D"/>
    <w:rsid w:val="00A43B34"/>
    <w:rsid w:val="00A56DC7"/>
    <w:rsid w:val="00A6045D"/>
    <w:rsid w:val="00A72F13"/>
    <w:rsid w:val="00A72FED"/>
    <w:rsid w:val="00A74FD1"/>
    <w:rsid w:val="00A77592"/>
    <w:rsid w:val="00A77BFA"/>
    <w:rsid w:val="00A811AD"/>
    <w:rsid w:val="00A84A58"/>
    <w:rsid w:val="00A85DE0"/>
    <w:rsid w:val="00A94F9D"/>
    <w:rsid w:val="00A97DFD"/>
    <w:rsid w:val="00AA11E5"/>
    <w:rsid w:val="00AA2459"/>
    <w:rsid w:val="00AA792C"/>
    <w:rsid w:val="00AB5937"/>
    <w:rsid w:val="00AB6829"/>
    <w:rsid w:val="00AC185B"/>
    <w:rsid w:val="00AC50E7"/>
    <w:rsid w:val="00AD1406"/>
    <w:rsid w:val="00AD1509"/>
    <w:rsid w:val="00AD4D11"/>
    <w:rsid w:val="00AE4C1B"/>
    <w:rsid w:val="00AF06FC"/>
    <w:rsid w:val="00AF2BDD"/>
    <w:rsid w:val="00AF3391"/>
    <w:rsid w:val="00AF387F"/>
    <w:rsid w:val="00AF6FD3"/>
    <w:rsid w:val="00B00C87"/>
    <w:rsid w:val="00B00D56"/>
    <w:rsid w:val="00B00E7F"/>
    <w:rsid w:val="00B12E94"/>
    <w:rsid w:val="00B12F1E"/>
    <w:rsid w:val="00B173DA"/>
    <w:rsid w:val="00B21DCC"/>
    <w:rsid w:val="00B22018"/>
    <w:rsid w:val="00B25B93"/>
    <w:rsid w:val="00B25F37"/>
    <w:rsid w:val="00B30879"/>
    <w:rsid w:val="00B37BF0"/>
    <w:rsid w:val="00B44422"/>
    <w:rsid w:val="00B46EA0"/>
    <w:rsid w:val="00B51787"/>
    <w:rsid w:val="00B520E4"/>
    <w:rsid w:val="00B52535"/>
    <w:rsid w:val="00B731D3"/>
    <w:rsid w:val="00B74BC6"/>
    <w:rsid w:val="00B82E80"/>
    <w:rsid w:val="00B839A3"/>
    <w:rsid w:val="00B8495F"/>
    <w:rsid w:val="00B902BD"/>
    <w:rsid w:val="00B92FC7"/>
    <w:rsid w:val="00B958AF"/>
    <w:rsid w:val="00BA24E2"/>
    <w:rsid w:val="00BB1EA7"/>
    <w:rsid w:val="00BC3E4F"/>
    <w:rsid w:val="00BC719A"/>
    <w:rsid w:val="00BD2A39"/>
    <w:rsid w:val="00BD2E80"/>
    <w:rsid w:val="00BD39E6"/>
    <w:rsid w:val="00BD64B9"/>
    <w:rsid w:val="00BD69DB"/>
    <w:rsid w:val="00BE11B8"/>
    <w:rsid w:val="00BE15EE"/>
    <w:rsid w:val="00BE50EF"/>
    <w:rsid w:val="00BE6753"/>
    <w:rsid w:val="00BF4586"/>
    <w:rsid w:val="00BF787C"/>
    <w:rsid w:val="00BF7FF0"/>
    <w:rsid w:val="00C057F4"/>
    <w:rsid w:val="00C12502"/>
    <w:rsid w:val="00C20E27"/>
    <w:rsid w:val="00C24B80"/>
    <w:rsid w:val="00C31A95"/>
    <w:rsid w:val="00C32FEA"/>
    <w:rsid w:val="00C35B5C"/>
    <w:rsid w:val="00C36578"/>
    <w:rsid w:val="00C3660C"/>
    <w:rsid w:val="00C37269"/>
    <w:rsid w:val="00C409D4"/>
    <w:rsid w:val="00C40AA5"/>
    <w:rsid w:val="00C40AF5"/>
    <w:rsid w:val="00C41F8C"/>
    <w:rsid w:val="00C423B9"/>
    <w:rsid w:val="00C43C6A"/>
    <w:rsid w:val="00C455AA"/>
    <w:rsid w:val="00C46410"/>
    <w:rsid w:val="00C46F70"/>
    <w:rsid w:val="00C476D0"/>
    <w:rsid w:val="00C521A9"/>
    <w:rsid w:val="00C53121"/>
    <w:rsid w:val="00C53BA9"/>
    <w:rsid w:val="00C54913"/>
    <w:rsid w:val="00C55A0F"/>
    <w:rsid w:val="00C61AC1"/>
    <w:rsid w:val="00C706C1"/>
    <w:rsid w:val="00C7404F"/>
    <w:rsid w:val="00C80372"/>
    <w:rsid w:val="00C8209A"/>
    <w:rsid w:val="00C836E3"/>
    <w:rsid w:val="00C86577"/>
    <w:rsid w:val="00C9080E"/>
    <w:rsid w:val="00C92A1B"/>
    <w:rsid w:val="00C92E07"/>
    <w:rsid w:val="00C96868"/>
    <w:rsid w:val="00C97B99"/>
    <w:rsid w:val="00CA0416"/>
    <w:rsid w:val="00CA414B"/>
    <w:rsid w:val="00CA64B5"/>
    <w:rsid w:val="00CB473A"/>
    <w:rsid w:val="00CB7CB7"/>
    <w:rsid w:val="00CC42B8"/>
    <w:rsid w:val="00CC560B"/>
    <w:rsid w:val="00CC58B8"/>
    <w:rsid w:val="00CC75E2"/>
    <w:rsid w:val="00CD10A4"/>
    <w:rsid w:val="00CD12C1"/>
    <w:rsid w:val="00CD333A"/>
    <w:rsid w:val="00CD46EB"/>
    <w:rsid w:val="00CD6780"/>
    <w:rsid w:val="00CD7EBF"/>
    <w:rsid w:val="00CF3BE0"/>
    <w:rsid w:val="00CF443C"/>
    <w:rsid w:val="00CF71ED"/>
    <w:rsid w:val="00CF7BD1"/>
    <w:rsid w:val="00D0294E"/>
    <w:rsid w:val="00D04D72"/>
    <w:rsid w:val="00D056F1"/>
    <w:rsid w:val="00D05B83"/>
    <w:rsid w:val="00D11171"/>
    <w:rsid w:val="00D13D5F"/>
    <w:rsid w:val="00D17D36"/>
    <w:rsid w:val="00D22F3C"/>
    <w:rsid w:val="00D23DB6"/>
    <w:rsid w:val="00D24BC6"/>
    <w:rsid w:val="00D40D32"/>
    <w:rsid w:val="00D43FE6"/>
    <w:rsid w:val="00D51A95"/>
    <w:rsid w:val="00D54E0A"/>
    <w:rsid w:val="00D60157"/>
    <w:rsid w:val="00D60568"/>
    <w:rsid w:val="00D70C7A"/>
    <w:rsid w:val="00D72A4B"/>
    <w:rsid w:val="00D72E46"/>
    <w:rsid w:val="00D72EA7"/>
    <w:rsid w:val="00D737F9"/>
    <w:rsid w:val="00D74EA7"/>
    <w:rsid w:val="00D807ED"/>
    <w:rsid w:val="00D81078"/>
    <w:rsid w:val="00D81D38"/>
    <w:rsid w:val="00D85AA9"/>
    <w:rsid w:val="00D87973"/>
    <w:rsid w:val="00D9141F"/>
    <w:rsid w:val="00D9344F"/>
    <w:rsid w:val="00D95AC6"/>
    <w:rsid w:val="00DA10A8"/>
    <w:rsid w:val="00DA2F8D"/>
    <w:rsid w:val="00DB1E08"/>
    <w:rsid w:val="00DB2973"/>
    <w:rsid w:val="00DB4508"/>
    <w:rsid w:val="00DB5EED"/>
    <w:rsid w:val="00DC13DA"/>
    <w:rsid w:val="00DC1B56"/>
    <w:rsid w:val="00DC2129"/>
    <w:rsid w:val="00DC2B3A"/>
    <w:rsid w:val="00DC6022"/>
    <w:rsid w:val="00DC6570"/>
    <w:rsid w:val="00DD04BE"/>
    <w:rsid w:val="00DD0C35"/>
    <w:rsid w:val="00DD1DF3"/>
    <w:rsid w:val="00DD3C5E"/>
    <w:rsid w:val="00DD46A6"/>
    <w:rsid w:val="00DE19AD"/>
    <w:rsid w:val="00DF25C3"/>
    <w:rsid w:val="00DF3249"/>
    <w:rsid w:val="00DF45FC"/>
    <w:rsid w:val="00DF4A19"/>
    <w:rsid w:val="00DF6CBD"/>
    <w:rsid w:val="00E02F2D"/>
    <w:rsid w:val="00E04062"/>
    <w:rsid w:val="00E063C6"/>
    <w:rsid w:val="00E066BA"/>
    <w:rsid w:val="00E07DEE"/>
    <w:rsid w:val="00E10998"/>
    <w:rsid w:val="00E10BF5"/>
    <w:rsid w:val="00E15A84"/>
    <w:rsid w:val="00E2003B"/>
    <w:rsid w:val="00E203C2"/>
    <w:rsid w:val="00E279D8"/>
    <w:rsid w:val="00E30455"/>
    <w:rsid w:val="00E304EB"/>
    <w:rsid w:val="00E3053A"/>
    <w:rsid w:val="00E319B1"/>
    <w:rsid w:val="00E36E06"/>
    <w:rsid w:val="00E4006A"/>
    <w:rsid w:val="00E44E0D"/>
    <w:rsid w:val="00E45E1C"/>
    <w:rsid w:val="00E51B41"/>
    <w:rsid w:val="00E5492F"/>
    <w:rsid w:val="00E62DEF"/>
    <w:rsid w:val="00E65529"/>
    <w:rsid w:val="00E70A86"/>
    <w:rsid w:val="00E72660"/>
    <w:rsid w:val="00E73AD1"/>
    <w:rsid w:val="00E777EC"/>
    <w:rsid w:val="00E80FCD"/>
    <w:rsid w:val="00E86DA2"/>
    <w:rsid w:val="00E922FE"/>
    <w:rsid w:val="00E93E8C"/>
    <w:rsid w:val="00E94A52"/>
    <w:rsid w:val="00EA0482"/>
    <w:rsid w:val="00EA08B0"/>
    <w:rsid w:val="00EA4370"/>
    <w:rsid w:val="00EA5DB3"/>
    <w:rsid w:val="00EA7F2F"/>
    <w:rsid w:val="00EB27D9"/>
    <w:rsid w:val="00EB2FE3"/>
    <w:rsid w:val="00EC00DE"/>
    <w:rsid w:val="00EC30E1"/>
    <w:rsid w:val="00EC40E9"/>
    <w:rsid w:val="00EC412D"/>
    <w:rsid w:val="00ED100C"/>
    <w:rsid w:val="00ED12EC"/>
    <w:rsid w:val="00ED172A"/>
    <w:rsid w:val="00EE7BDA"/>
    <w:rsid w:val="00EF24ED"/>
    <w:rsid w:val="00EF3819"/>
    <w:rsid w:val="00EF6319"/>
    <w:rsid w:val="00F0002D"/>
    <w:rsid w:val="00F00114"/>
    <w:rsid w:val="00F00235"/>
    <w:rsid w:val="00F03987"/>
    <w:rsid w:val="00F11F6C"/>
    <w:rsid w:val="00F14BEC"/>
    <w:rsid w:val="00F14E5E"/>
    <w:rsid w:val="00F17027"/>
    <w:rsid w:val="00F225C5"/>
    <w:rsid w:val="00F2587A"/>
    <w:rsid w:val="00F2791B"/>
    <w:rsid w:val="00F3101F"/>
    <w:rsid w:val="00F3289E"/>
    <w:rsid w:val="00F34D33"/>
    <w:rsid w:val="00F351EB"/>
    <w:rsid w:val="00F3715D"/>
    <w:rsid w:val="00F420C8"/>
    <w:rsid w:val="00F42A4C"/>
    <w:rsid w:val="00F60038"/>
    <w:rsid w:val="00F604DE"/>
    <w:rsid w:val="00F67199"/>
    <w:rsid w:val="00F6749A"/>
    <w:rsid w:val="00F67794"/>
    <w:rsid w:val="00F71F06"/>
    <w:rsid w:val="00F756F7"/>
    <w:rsid w:val="00F75903"/>
    <w:rsid w:val="00F845E3"/>
    <w:rsid w:val="00F92723"/>
    <w:rsid w:val="00FA38AF"/>
    <w:rsid w:val="00FA4AAB"/>
    <w:rsid w:val="00FA64FA"/>
    <w:rsid w:val="00FB1AE2"/>
    <w:rsid w:val="00FB1E59"/>
    <w:rsid w:val="00FB1FCA"/>
    <w:rsid w:val="00FB22D7"/>
    <w:rsid w:val="00FB2CEB"/>
    <w:rsid w:val="00FB7512"/>
    <w:rsid w:val="00FC0A42"/>
    <w:rsid w:val="00FC4D8F"/>
    <w:rsid w:val="00FC6F41"/>
    <w:rsid w:val="00FD4D32"/>
    <w:rsid w:val="00FD6360"/>
    <w:rsid w:val="00FD7547"/>
    <w:rsid w:val="00FE1986"/>
    <w:rsid w:val="00FE33A7"/>
    <w:rsid w:val="00FE6001"/>
    <w:rsid w:val="00FF529F"/>
    <w:rsid w:val="00FF5F5C"/>
    <w:rsid w:val="00FF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D87973"/>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D87973"/>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
    <w:name w:val="Footnote Text Char"/>
    <w:aliases w:val="Footnotes Text Char,FSFootnotes Text Char"/>
    <w:basedOn w:val="DefaultParagraphFont"/>
    <w:link w:val="FootnoteText"/>
    <w:rsid w:val="000C7205"/>
    <w:rPr>
      <w:rFonts w:ascii="Arial" w:hAnsi="Arial"/>
      <w:lang w:eastAsia="en-US" w:bidi="en-US"/>
    </w:rPr>
  </w:style>
  <w:style w:type="paragraph" w:customStyle="1" w:styleId="FSTableFigureHeading">
    <w:name w:val="FSTable/Figure Heading"/>
    <w:basedOn w:val="Normal"/>
    <w:uiPriority w:val="7"/>
    <w:qFormat/>
    <w:locked/>
    <w:rsid w:val="000C7205"/>
    <w:pPr>
      <w:spacing w:before="120" w:after="120"/>
      <w:ind w:left="1134" w:hanging="1134"/>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D87973"/>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D87973"/>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
    <w:name w:val="Footnote Text Char"/>
    <w:aliases w:val="Footnotes Text Char,FSFootnotes Text Char"/>
    <w:basedOn w:val="DefaultParagraphFont"/>
    <w:link w:val="FootnoteText"/>
    <w:rsid w:val="000C7205"/>
    <w:rPr>
      <w:rFonts w:ascii="Arial" w:hAnsi="Arial"/>
      <w:lang w:eastAsia="en-US" w:bidi="en-US"/>
    </w:rPr>
  </w:style>
  <w:style w:type="paragraph" w:customStyle="1" w:styleId="FSTableFigureHeading">
    <w:name w:val="FSTable/Figure Heading"/>
    <w:basedOn w:val="Normal"/>
    <w:uiPriority w:val="7"/>
    <w:qFormat/>
    <w:locked/>
    <w:rsid w:val="000C7205"/>
    <w:pPr>
      <w:spacing w:before="120" w:after="120"/>
      <w:ind w:left="1134" w:hanging="1134"/>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4253">
      <w:bodyDiv w:val="1"/>
      <w:marLeft w:val="0"/>
      <w:marRight w:val="0"/>
      <w:marTop w:val="0"/>
      <w:marBottom w:val="0"/>
      <w:divBdr>
        <w:top w:val="none" w:sz="0" w:space="0" w:color="auto"/>
        <w:left w:val="none" w:sz="0" w:space="0" w:color="auto"/>
        <w:bottom w:val="none" w:sz="0" w:space="0" w:color="auto"/>
        <w:right w:val="none" w:sz="0" w:space="0" w:color="auto"/>
      </w:divBdr>
      <w:divsChild>
        <w:div w:id="1049958359">
          <w:marLeft w:val="0"/>
          <w:marRight w:val="0"/>
          <w:marTop w:val="0"/>
          <w:marBottom w:val="0"/>
          <w:divBdr>
            <w:top w:val="none" w:sz="0" w:space="0" w:color="auto"/>
            <w:left w:val="none" w:sz="0" w:space="0" w:color="auto"/>
            <w:bottom w:val="none" w:sz="0" w:space="0" w:color="auto"/>
            <w:right w:val="none" w:sz="0" w:space="0" w:color="auto"/>
          </w:divBdr>
          <w:divsChild>
            <w:div w:id="2124420376">
              <w:marLeft w:val="0"/>
              <w:marRight w:val="0"/>
              <w:marTop w:val="0"/>
              <w:marBottom w:val="0"/>
              <w:divBdr>
                <w:top w:val="none" w:sz="0" w:space="0" w:color="auto"/>
                <w:left w:val="none" w:sz="0" w:space="0" w:color="auto"/>
                <w:bottom w:val="none" w:sz="0" w:space="0" w:color="auto"/>
                <w:right w:val="none" w:sz="0" w:space="0" w:color="auto"/>
              </w:divBdr>
              <w:divsChild>
                <w:div w:id="1094789002">
                  <w:marLeft w:val="0"/>
                  <w:marRight w:val="0"/>
                  <w:marTop w:val="0"/>
                  <w:marBottom w:val="0"/>
                  <w:divBdr>
                    <w:top w:val="none" w:sz="0" w:space="0" w:color="auto"/>
                    <w:left w:val="none" w:sz="0" w:space="0" w:color="auto"/>
                    <w:bottom w:val="none" w:sz="0" w:space="0" w:color="auto"/>
                    <w:right w:val="none" w:sz="0" w:space="0" w:color="auto"/>
                  </w:divBdr>
                  <w:divsChild>
                    <w:div w:id="860237926">
                      <w:marLeft w:val="0"/>
                      <w:marRight w:val="0"/>
                      <w:marTop w:val="0"/>
                      <w:marBottom w:val="0"/>
                      <w:divBdr>
                        <w:top w:val="none" w:sz="0" w:space="0" w:color="auto"/>
                        <w:left w:val="none" w:sz="0" w:space="0" w:color="auto"/>
                        <w:bottom w:val="none" w:sz="0" w:space="0" w:color="auto"/>
                        <w:right w:val="none" w:sz="0" w:space="0" w:color="auto"/>
                      </w:divBdr>
                      <w:divsChild>
                        <w:div w:id="8414073">
                          <w:marLeft w:val="0"/>
                          <w:marRight w:val="0"/>
                          <w:marTop w:val="45"/>
                          <w:marBottom w:val="0"/>
                          <w:divBdr>
                            <w:top w:val="none" w:sz="0" w:space="0" w:color="auto"/>
                            <w:left w:val="none" w:sz="0" w:space="0" w:color="auto"/>
                            <w:bottom w:val="none" w:sz="0" w:space="0" w:color="auto"/>
                            <w:right w:val="none" w:sz="0" w:space="0" w:color="auto"/>
                          </w:divBdr>
                          <w:divsChild>
                            <w:div w:id="1802141478">
                              <w:marLeft w:val="0"/>
                              <w:marRight w:val="0"/>
                              <w:marTop w:val="0"/>
                              <w:marBottom w:val="0"/>
                              <w:divBdr>
                                <w:top w:val="none" w:sz="0" w:space="0" w:color="auto"/>
                                <w:left w:val="none" w:sz="0" w:space="0" w:color="auto"/>
                                <w:bottom w:val="none" w:sz="0" w:space="0" w:color="auto"/>
                                <w:right w:val="none" w:sz="0" w:space="0" w:color="auto"/>
                              </w:divBdr>
                              <w:divsChild>
                                <w:div w:id="433091141">
                                  <w:marLeft w:val="2070"/>
                                  <w:marRight w:val="3810"/>
                                  <w:marTop w:val="0"/>
                                  <w:marBottom w:val="0"/>
                                  <w:divBdr>
                                    <w:top w:val="none" w:sz="0" w:space="0" w:color="auto"/>
                                    <w:left w:val="none" w:sz="0" w:space="0" w:color="auto"/>
                                    <w:bottom w:val="none" w:sz="0" w:space="0" w:color="auto"/>
                                    <w:right w:val="none" w:sz="0" w:space="0" w:color="auto"/>
                                  </w:divBdr>
                                  <w:divsChild>
                                    <w:div w:id="58024030">
                                      <w:marLeft w:val="0"/>
                                      <w:marRight w:val="0"/>
                                      <w:marTop w:val="0"/>
                                      <w:marBottom w:val="0"/>
                                      <w:divBdr>
                                        <w:top w:val="none" w:sz="0" w:space="0" w:color="auto"/>
                                        <w:left w:val="none" w:sz="0" w:space="0" w:color="auto"/>
                                        <w:bottom w:val="none" w:sz="0" w:space="0" w:color="auto"/>
                                        <w:right w:val="none" w:sz="0" w:space="0" w:color="auto"/>
                                      </w:divBdr>
                                      <w:divsChild>
                                        <w:div w:id="1258975650">
                                          <w:marLeft w:val="0"/>
                                          <w:marRight w:val="0"/>
                                          <w:marTop w:val="0"/>
                                          <w:marBottom w:val="0"/>
                                          <w:divBdr>
                                            <w:top w:val="none" w:sz="0" w:space="0" w:color="auto"/>
                                            <w:left w:val="none" w:sz="0" w:space="0" w:color="auto"/>
                                            <w:bottom w:val="none" w:sz="0" w:space="0" w:color="auto"/>
                                            <w:right w:val="none" w:sz="0" w:space="0" w:color="auto"/>
                                          </w:divBdr>
                                          <w:divsChild>
                                            <w:div w:id="2115248646">
                                              <w:marLeft w:val="0"/>
                                              <w:marRight w:val="0"/>
                                              <w:marTop w:val="0"/>
                                              <w:marBottom w:val="0"/>
                                              <w:divBdr>
                                                <w:top w:val="none" w:sz="0" w:space="0" w:color="auto"/>
                                                <w:left w:val="none" w:sz="0" w:space="0" w:color="auto"/>
                                                <w:bottom w:val="none" w:sz="0" w:space="0" w:color="auto"/>
                                                <w:right w:val="none" w:sz="0" w:space="0" w:color="auto"/>
                                              </w:divBdr>
                                              <w:divsChild>
                                                <w:div w:id="1600914582">
                                                  <w:marLeft w:val="0"/>
                                                  <w:marRight w:val="0"/>
                                                  <w:marTop w:val="0"/>
                                                  <w:marBottom w:val="0"/>
                                                  <w:divBdr>
                                                    <w:top w:val="none" w:sz="0" w:space="0" w:color="auto"/>
                                                    <w:left w:val="none" w:sz="0" w:space="0" w:color="auto"/>
                                                    <w:bottom w:val="none" w:sz="0" w:space="0" w:color="auto"/>
                                                    <w:right w:val="none" w:sz="0" w:space="0" w:color="auto"/>
                                                  </w:divBdr>
                                                  <w:divsChild>
                                                    <w:div w:id="293680491">
                                                      <w:marLeft w:val="0"/>
                                                      <w:marRight w:val="0"/>
                                                      <w:marTop w:val="0"/>
                                                      <w:marBottom w:val="0"/>
                                                      <w:divBdr>
                                                        <w:top w:val="none" w:sz="0" w:space="0" w:color="auto"/>
                                                        <w:left w:val="none" w:sz="0" w:space="0" w:color="auto"/>
                                                        <w:bottom w:val="none" w:sz="0" w:space="0" w:color="auto"/>
                                                        <w:right w:val="none" w:sz="0" w:space="0" w:color="auto"/>
                                                      </w:divBdr>
                                                      <w:divsChild>
                                                        <w:div w:id="265694298">
                                                          <w:marLeft w:val="0"/>
                                                          <w:marRight w:val="0"/>
                                                          <w:marTop w:val="0"/>
                                                          <w:marBottom w:val="0"/>
                                                          <w:divBdr>
                                                            <w:top w:val="none" w:sz="0" w:space="0" w:color="auto"/>
                                                            <w:left w:val="none" w:sz="0" w:space="0" w:color="auto"/>
                                                            <w:bottom w:val="none" w:sz="0" w:space="0" w:color="auto"/>
                                                            <w:right w:val="none" w:sz="0" w:space="0" w:color="auto"/>
                                                          </w:divBdr>
                                                          <w:divsChild>
                                                            <w:div w:id="585453841">
                                                              <w:marLeft w:val="0"/>
                                                              <w:marRight w:val="0"/>
                                                              <w:marTop w:val="0"/>
                                                              <w:marBottom w:val="345"/>
                                                              <w:divBdr>
                                                                <w:top w:val="none" w:sz="0" w:space="0" w:color="auto"/>
                                                                <w:left w:val="none" w:sz="0" w:space="0" w:color="auto"/>
                                                                <w:bottom w:val="none" w:sz="0" w:space="0" w:color="auto"/>
                                                                <w:right w:val="none" w:sz="0" w:space="0" w:color="auto"/>
                                                              </w:divBdr>
                                                              <w:divsChild>
                                                                <w:div w:id="959147944">
                                                                  <w:marLeft w:val="0"/>
                                                                  <w:marRight w:val="0"/>
                                                                  <w:marTop w:val="0"/>
                                                                  <w:marBottom w:val="0"/>
                                                                  <w:divBdr>
                                                                    <w:top w:val="none" w:sz="0" w:space="0" w:color="auto"/>
                                                                    <w:left w:val="none" w:sz="0" w:space="0" w:color="auto"/>
                                                                    <w:bottom w:val="none" w:sz="0" w:space="0" w:color="auto"/>
                                                                    <w:right w:val="none" w:sz="0" w:space="0" w:color="auto"/>
                                                                  </w:divBdr>
                                                                  <w:divsChild>
                                                                    <w:div w:id="541791715">
                                                                      <w:marLeft w:val="0"/>
                                                                      <w:marRight w:val="0"/>
                                                                      <w:marTop w:val="0"/>
                                                                      <w:marBottom w:val="0"/>
                                                                      <w:divBdr>
                                                                        <w:top w:val="none" w:sz="0" w:space="0" w:color="auto"/>
                                                                        <w:left w:val="none" w:sz="0" w:space="0" w:color="auto"/>
                                                                        <w:bottom w:val="none" w:sz="0" w:space="0" w:color="auto"/>
                                                                        <w:right w:val="none" w:sz="0" w:space="0" w:color="auto"/>
                                                                      </w:divBdr>
                                                                      <w:divsChild>
                                                                        <w:div w:id="1011876068">
                                                                          <w:marLeft w:val="0"/>
                                                                          <w:marRight w:val="0"/>
                                                                          <w:marTop w:val="0"/>
                                                                          <w:marBottom w:val="0"/>
                                                                          <w:divBdr>
                                                                            <w:top w:val="none" w:sz="0" w:space="0" w:color="auto"/>
                                                                            <w:left w:val="none" w:sz="0" w:space="0" w:color="auto"/>
                                                                            <w:bottom w:val="none" w:sz="0" w:space="0" w:color="auto"/>
                                                                            <w:right w:val="none" w:sz="0" w:space="0" w:color="auto"/>
                                                                          </w:divBdr>
                                                                          <w:divsChild>
                                                                            <w:div w:id="12518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apps.who.int/iris/bitstream/10665/204410/1/9789240695405_eng.pdf?ua=1" TargetMode="External"/><Relationship Id="rId3" Type="http://schemas.openxmlformats.org/officeDocument/2006/relationships/customXml" Target="../customXml/item3.xml"/><Relationship Id="rId21" Type="http://schemas.openxmlformats.org/officeDocument/2006/relationships/hyperlink" Target="http://www.allergenonline.org/"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ao.org/food/food-safety-quality/scientific-advice/jecfa/jecfa-additives/enzymes/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llergen.nihs.go.jp/ADF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chem.qmul.ac.uk/iubmb/enzyme/EC3/1/1/3.html" TargetMode="Externa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hyperlink" Target="http://www.ejbiotechnology.info/index.php/ejbiotechnology/article/view/v16n3-5/1638" TargetMode="External"/><Relationship Id="rId10" Type="http://schemas.openxmlformats.org/officeDocument/2006/relationships/settings" Target="settings.xml"/><Relationship Id="rId19" Type="http://schemas.openxmlformats.org/officeDocument/2006/relationships/image" Target="media/image3.png"/><Relationship Id="rId30" Type="http://schemas.microsoft.com/office/2011/relationships/people" Target="peop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who.int/foodsafety/publications/biotech/en/ec_jan200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X3VAMR3A5FUY-552-6332</_dlc_DocId>
    <_dlc_DocIdUrl xmlns="ff5de93e-c5e8-4efc-a1bd-21450292fcfe">
      <Url>http://teams/Sections/RAP/_layouts/15/DocIdRedir.aspx?ID=X3VAMR3A5FUY-552-6332</Url>
      <Description>X3VAMR3A5FUY-552-6332</Description>
    </_dlc_DocIdUrl>
    <_dlc_DocIdPersistId xmlns="ff5de93e-c5e8-4efc-a1bd-21450292fcf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2746C-28E3-4A4D-A7D2-CE314B5056B7}"/>
</file>

<file path=customXml/itemProps2.xml><?xml version="1.0" encoding="utf-8"?>
<ds:datastoreItem xmlns:ds="http://schemas.openxmlformats.org/officeDocument/2006/customXml" ds:itemID="{F9BE8304-79D9-406A-B9D8-83EEF840A36D}"/>
</file>

<file path=customXml/itemProps3.xml><?xml version="1.0" encoding="utf-8"?>
<ds:datastoreItem xmlns:ds="http://schemas.openxmlformats.org/officeDocument/2006/customXml" ds:itemID="{67C44176-72DD-4C9E-905E-6D7FB8C9AC03}"/>
</file>

<file path=customXml/itemProps4.xml><?xml version="1.0" encoding="utf-8"?>
<ds:datastoreItem xmlns:ds="http://schemas.openxmlformats.org/officeDocument/2006/customXml" ds:itemID="{9F528671-1928-473C-86A2-DEB2A1EB54EF}">
  <ds:schemaRefs>
    <ds:schemaRef ds:uri="Microsoft.SharePoint.Taxonomy.ContentTypeSync"/>
  </ds:schemaRefs>
</ds:datastoreItem>
</file>

<file path=customXml/itemProps5.xml><?xml version="1.0" encoding="utf-8"?>
<ds:datastoreItem xmlns:ds="http://schemas.openxmlformats.org/officeDocument/2006/customXml" ds:itemID="{7612746C-28E3-4A4D-A7D2-CE314B5056B7}">
  <ds:schemaRef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ff5de93e-c5e8-4efc-a1bd-21450292fcfe"/>
    <ds:schemaRef ds:uri="ec50576e-4a27-4780-a1e1-e59563bc70b8"/>
  </ds:schemaRefs>
</ds:datastoreItem>
</file>

<file path=customXml/itemProps6.xml><?xml version="1.0" encoding="utf-8"?>
<ds:datastoreItem xmlns:ds="http://schemas.openxmlformats.org/officeDocument/2006/customXml" ds:itemID="{CC8E8219-A35B-474A-B3FB-7FD9DE83549A}"/>
</file>

<file path=docProps/app.xml><?xml version="1.0" encoding="utf-8"?>
<Properties xmlns="http://schemas.openxmlformats.org/officeDocument/2006/extended-properties" xmlns:vt="http://schemas.openxmlformats.org/officeDocument/2006/docPropsVTypes">
  <Template>Normal.dotm</Template>
  <TotalTime>2049</TotalTime>
  <Pages>12</Pages>
  <Words>3967</Words>
  <Characters>24573</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28484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weirbr</dc:creator>
  <cp:keywords/>
  <cp:lastModifiedBy>rissas</cp:lastModifiedBy>
  <cp:revision>125</cp:revision>
  <cp:lastPrinted>2017-04-10T04:53:00Z</cp:lastPrinted>
  <dcterms:created xsi:type="dcterms:W3CDTF">2017-01-03T23:00:00Z</dcterms:created>
  <dcterms:modified xsi:type="dcterms:W3CDTF">2017-07-04T00:39:00Z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40be0eea-c535-44e1-9240-a965671ff5e1</vt:lpwstr>
  </property>
  <property fmtid="{D5CDD505-2E9C-101B-9397-08002B2CF9AE}" pid="4" name="BCS_">
    <vt:lpwstr>40;#Evaluation|43bd8487-b9f6-4055-946c-a118d364275d</vt:lpwstr>
  </property>
  <property fmtid="{D5CDD505-2E9C-101B-9397-08002B2CF9AE}" pid="5" name="DisposalClass">
    <vt:lpwstr/>
  </property>
  <property fmtid="{D5CDD505-2E9C-101B-9397-08002B2CF9AE}" pid="6" name="TitusGUID">
    <vt:lpwstr>8cdce10a-c3c4-40fc-8724-53820ee05287</vt:lpwstr>
  </property>
  <property fmtid="{D5CDD505-2E9C-101B-9397-08002B2CF9AE}" pid="7" name="SPPCopyMoveEvent">
    <vt:lpwstr>0</vt:lpwstr>
  </property>
</Properties>
</file>